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F8A" w:rsidRDefault="000A4FA3">
      <w:pPr>
        <w:jc w:val="center"/>
        <w:rPr>
          <w:rFonts w:ascii="Times" w:eastAsia="黑体" w:hAnsi="Times" w:hint="eastAsia"/>
          <w:b/>
          <w:bCs/>
          <w:spacing w:val="5"/>
          <w:sz w:val="36"/>
          <w:szCs w:val="36"/>
        </w:rPr>
      </w:pPr>
      <w:r>
        <w:rPr>
          <w:rFonts w:ascii="Times" w:eastAsia="黑体" w:hAnsi="Times" w:hint="eastAsia"/>
          <w:b/>
          <w:bCs/>
          <w:spacing w:val="5"/>
          <w:sz w:val="36"/>
          <w:szCs w:val="36"/>
        </w:rPr>
        <w:t>《公共安全</w:t>
      </w:r>
      <w:r>
        <w:rPr>
          <w:rFonts w:ascii="Times" w:eastAsia="黑体" w:hAnsi="Times" w:hint="eastAsia"/>
          <w:b/>
          <w:bCs/>
          <w:spacing w:val="5"/>
          <w:sz w:val="36"/>
          <w:szCs w:val="36"/>
        </w:rPr>
        <w:t xml:space="preserve"> </w:t>
      </w:r>
      <w:r>
        <w:rPr>
          <w:rFonts w:ascii="Times" w:eastAsia="黑体" w:hAnsi="Times" w:hint="eastAsia"/>
          <w:b/>
          <w:bCs/>
          <w:spacing w:val="5"/>
          <w:sz w:val="36"/>
          <w:szCs w:val="36"/>
        </w:rPr>
        <w:t>城市安全风险源分类分级规范》</w:t>
      </w:r>
    </w:p>
    <w:p w:rsidR="00F72F8A" w:rsidRDefault="000A4FA3">
      <w:pPr>
        <w:jc w:val="center"/>
        <w:rPr>
          <w:rFonts w:ascii="Times" w:eastAsia="黑体" w:hAnsi="Times" w:hint="eastAsia"/>
          <w:b/>
          <w:bCs/>
          <w:spacing w:val="5"/>
          <w:sz w:val="36"/>
          <w:szCs w:val="36"/>
        </w:rPr>
      </w:pPr>
      <w:r>
        <w:rPr>
          <w:rFonts w:ascii="Times" w:eastAsia="黑体" w:hAnsi="Times"/>
          <w:b/>
          <w:bCs/>
          <w:spacing w:val="5"/>
          <w:sz w:val="36"/>
          <w:szCs w:val="36"/>
        </w:rPr>
        <w:t>编制说明</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hint="eastAsia"/>
          <w:b/>
          <w:sz w:val="28"/>
          <w:szCs w:val="28"/>
        </w:rPr>
        <w:t>目的意义</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1</w:t>
      </w:r>
      <w:r>
        <w:rPr>
          <w:rFonts w:ascii="Times" w:hAnsi="Times" w:cs="宋体" w:hint="eastAsia"/>
          <w:sz w:val="24"/>
        </w:rPr>
        <w:t>、产业发展现状</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我国经济社会快速发展，城市人口、功能和规模不断扩大，城市运行系统日益复杂，工商业企业、城市生命线系统、城市功能区等持续集聚发展，显著加大了城市安全风险。通过安全风险评估进行风险管控是减少事故发生、降低可能损失的有效举措，已经得到了全国各地区的重视。</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风险评估（</w:t>
      </w:r>
      <w:r>
        <w:rPr>
          <w:rFonts w:ascii="Times" w:hAnsi="Times" w:cs="宋体" w:hint="eastAsia"/>
          <w:sz w:val="24"/>
        </w:rPr>
        <w:t>RiskAssessment</w:t>
      </w:r>
      <w:r>
        <w:rPr>
          <w:rFonts w:ascii="Times" w:hAnsi="Times" w:cs="宋体" w:hint="eastAsia"/>
          <w:sz w:val="24"/>
        </w:rPr>
        <w:t>）技术最早出现在</w:t>
      </w:r>
      <w:r>
        <w:rPr>
          <w:rFonts w:ascii="Times" w:hAnsi="Times" w:cs="宋体" w:hint="eastAsia"/>
          <w:sz w:val="24"/>
        </w:rPr>
        <w:t>20</w:t>
      </w:r>
      <w:r>
        <w:rPr>
          <w:rFonts w:ascii="Times" w:hAnsi="Times" w:cs="宋体" w:hint="eastAsia"/>
          <w:sz w:val="24"/>
        </w:rPr>
        <w:t>世纪</w:t>
      </w:r>
      <w:r>
        <w:rPr>
          <w:rFonts w:ascii="Times" w:hAnsi="Times" w:cs="宋体" w:hint="eastAsia"/>
          <w:sz w:val="24"/>
        </w:rPr>
        <w:t>30</w:t>
      </w:r>
      <w:r>
        <w:rPr>
          <w:rFonts w:ascii="Times" w:hAnsi="Times" w:cs="宋体" w:hint="eastAsia"/>
          <w:sz w:val="24"/>
        </w:rPr>
        <w:t>年代，随着保险业的发展而发展壮大。然后，随着工业化进程的加快，重大风险的事故时有发生，事故预防和安全管理得到了广泛的关注，促进了安全（风险）评估的发展。城市风险评估是一项涉及知识广泛、不确定性影响因素繁多的系统工程。通过对城市内风险源的辨识分析和评估分级，可以明确城市存在的现实安全风险特性及安全风险状况，提出安全对策建议，提高风险管理水平。</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国外开展了城市公共安全风险清单编制及标准化实践。</w:t>
      </w:r>
      <w:r>
        <w:rPr>
          <w:rFonts w:ascii="Times" w:hAnsi="Times" w:cs="宋体" w:hint="eastAsia"/>
          <w:sz w:val="24"/>
        </w:rPr>
        <w:t>ISO</w:t>
      </w:r>
      <w:r>
        <w:rPr>
          <w:rFonts w:ascii="Times" w:hAnsi="Times" w:cs="宋体" w:hint="eastAsia"/>
          <w:sz w:val="24"/>
        </w:rPr>
        <w:t>发布了“风险管理”系列标准，提出了风险管理基本框架，列出了风险管理的一般性方法。澳大利亚</w:t>
      </w:r>
      <w:r>
        <w:rPr>
          <w:rFonts w:ascii="Times" w:hAnsi="Times" w:cs="宋体" w:hint="eastAsia"/>
          <w:sz w:val="24"/>
        </w:rPr>
        <w:t>/</w:t>
      </w:r>
      <w:r>
        <w:rPr>
          <w:rFonts w:ascii="Times" w:hAnsi="Times" w:cs="宋体" w:hint="eastAsia"/>
          <w:sz w:val="24"/>
        </w:rPr>
        <w:t>新西兰编制了风险管理相关标准，详细提出了风险管理各阶段要求，列出了普适性方法的原理、应用方法和示例。英国全国及重要城市每一至两年编制一次风险清单，列出未来五年内可能面临的主要风险，用以指导安全管理工作。</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党的二十大报告指出，要“完善国家风险监测预警体系”。我国法律法规明确要求，国家建立重大突发事件风险评估体系，省级、设区的市级以及县级人民政府应在行政区内开展相应的安全风险评估。《“十四五”国家应急体系规划》提出，建立健全突发事件风险评估标准规范，对城市安全风险进行全面辨识评估。《关于推进城市安全发展的意见》提出“健全城市安全防控机制”的重要任务，要求强化安全风险管控，对城市安全风险进行全面辨识评估，建立城市安全信息管理平台，完善安全法规和标准。《国务院安委会办公室关于实施遏制重特大事故工作指南构建双重预防机制的意见》要求，全面开展安全风险辨识，有效管控安全风险。</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城市风险评估研究处于风险防范和处置的首要位置，也是现今城市风险管理体系中关注的环节。我国</w:t>
      </w:r>
      <w:r>
        <w:rPr>
          <w:rFonts w:ascii="Times" w:hAnsi="Times" w:cs="宋体" w:hint="eastAsia"/>
          <w:sz w:val="24"/>
        </w:rPr>
        <w:t>2</w:t>
      </w:r>
      <w:r>
        <w:rPr>
          <w:rFonts w:ascii="Times" w:hAnsi="Times" w:cs="宋体"/>
          <w:sz w:val="24"/>
        </w:rPr>
        <w:t>021</w:t>
      </w:r>
      <w:r>
        <w:rPr>
          <w:rFonts w:ascii="Times" w:hAnsi="Times" w:cs="宋体" w:hint="eastAsia"/>
          <w:sz w:val="24"/>
        </w:rPr>
        <w:t>出台了《城市公共安全风险识别规范》（</w:t>
      </w:r>
      <w:r>
        <w:rPr>
          <w:rFonts w:ascii="Times" w:hAnsi="Times" w:cs="宋体" w:hint="eastAsia"/>
          <w:sz w:val="24"/>
        </w:rPr>
        <w:t>T/CAPSA 11501</w:t>
      </w:r>
      <w:r>
        <w:rPr>
          <w:rFonts w:ascii="Times" w:hAnsi="Times" w:cs="宋体" w:hint="eastAsia"/>
          <w:sz w:val="24"/>
        </w:rPr>
        <w:t>—</w:t>
      </w:r>
      <w:r>
        <w:rPr>
          <w:rFonts w:ascii="Times" w:hAnsi="Times" w:cs="宋体" w:hint="eastAsia"/>
          <w:sz w:val="24"/>
        </w:rPr>
        <w:t>2021</w:t>
      </w:r>
      <w:r>
        <w:rPr>
          <w:rFonts w:ascii="Times" w:hAnsi="Times" w:cs="宋体" w:hint="eastAsia"/>
          <w:sz w:val="24"/>
        </w:rPr>
        <w:t>）和《城市公共安全风险分析规范》（</w:t>
      </w:r>
      <w:r>
        <w:rPr>
          <w:rFonts w:ascii="Times" w:hAnsi="Times" w:cs="宋体" w:hint="eastAsia"/>
          <w:sz w:val="24"/>
        </w:rPr>
        <w:t>T/CAPSA 11502</w:t>
      </w:r>
      <w:r>
        <w:rPr>
          <w:rFonts w:ascii="Times" w:hAnsi="Times" w:cs="宋体" w:hint="eastAsia"/>
          <w:sz w:val="24"/>
        </w:rPr>
        <w:t>—</w:t>
      </w:r>
      <w:r>
        <w:rPr>
          <w:rFonts w:ascii="Times" w:hAnsi="Times" w:cs="宋体" w:hint="eastAsia"/>
          <w:sz w:val="24"/>
        </w:rPr>
        <w:t>2021</w:t>
      </w:r>
      <w:r>
        <w:rPr>
          <w:rFonts w:ascii="Times" w:hAnsi="Times" w:cs="宋体" w:hint="eastAsia"/>
          <w:sz w:val="24"/>
        </w:rPr>
        <w:t>），规定了城市公共安全风险识别和分析的</w:t>
      </w:r>
      <w:r>
        <w:rPr>
          <w:rFonts w:ascii="Times" w:hAnsi="Times" w:cs="宋体" w:hint="eastAsia"/>
          <w:sz w:val="24"/>
        </w:rPr>
        <w:lastRenderedPageBreak/>
        <w:t>基本内容与流程，以及适用于城市公共安全典型风险的风险识别和分析基本方法。</w:t>
      </w:r>
      <w:r>
        <w:rPr>
          <w:rFonts w:ascii="Times" w:hAnsi="Times" w:cs="宋体" w:hint="eastAsia"/>
          <w:sz w:val="24"/>
        </w:rPr>
        <w:t xml:space="preserve"> 2</w:t>
      </w:r>
      <w:r>
        <w:rPr>
          <w:rFonts w:ascii="Times" w:hAnsi="Times" w:cs="宋体"/>
          <w:sz w:val="24"/>
        </w:rPr>
        <w:t>023</w:t>
      </w:r>
      <w:r>
        <w:rPr>
          <w:rFonts w:ascii="Times" w:hAnsi="Times" w:cs="宋体" w:hint="eastAsia"/>
          <w:sz w:val="24"/>
        </w:rPr>
        <w:t>年出台了《公共安全</w:t>
      </w:r>
      <w:r>
        <w:rPr>
          <w:rFonts w:ascii="Times" w:hAnsi="Times" w:cs="宋体" w:hint="eastAsia"/>
          <w:sz w:val="24"/>
        </w:rPr>
        <w:t xml:space="preserve"> </w:t>
      </w:r>
      <w:r>
        <w:rPr>
          <w:rFonts w:ascii="Times" w:hAnsi="Times" w:cs="宋体" w:hint="eastAsia"/>
          <w:sz w:val="24"/>
        </w:rPr>
        <w:t>城市安全风险评估》（</w:t>
      </w:r>
      <w:r>
        <w:rPr>
          <w:rFonts w:ascii="Times" w:hAnsi="Times" w:cs="宋体" w:hint="eastAsia"/>
          <w:sz w:val="24"/>
        </w:rPr>
        <w:t>G</w:t>
      </w:r>
      <w:r>
        <w:rPr>
          <w:rFonts w:ascii="Times" w:hAnsi="Times" w:cs="宋体"/>
          <w:sz w:val="24"/>
        </w:rPr>
        <w:t>B 42768-2023</w:t>
      </w:r>
      <w:r>
        <w:rPr>
          <w:rFonts w:ascii="Times" w:hAnsi="Times" w:cs="宋体" w:hint="eastAsia"/>
          <w:sz w:val="24"/>
        </w:rPr>
        <w:t>），规定了总体要求、基本流程，以及计划与准备、风险识别、风险分析、风险评价、风险评估成果及应用、风险沟通与更新，为提高城市安全风险评估的规范性、科学性和协调性提供技术支撑。北京、上海、深圳、天津等地也开展了城市公共安全风险管理实践，发布了有关城市安全风险评估的文件和标准规范，取得了一定成果。</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《江苏省“十四五”安全生产规划》指出，要全面开展城市安全风险评估，健全城市建设与运行安全风险管控责任体系和重大安全风险联防联控机制。江苏省地方标准《城市安全风险评估导则》（</w:t>
      </w:r>
      <w:r>
        <w:rPr>
          <w:rFonts w:ascii="Times" w:hAnsi="Times" w:cs="宋体"/>
          <w:sz w:val="24"/>
        </w:rPr>
        <w:t>DB32/T 4145-2021</w:t>
      </w:r>
      <w:r>
        <w:rPr>
          <w:rFonts w:ascii="Times" w:hAnsi="Times" w:cs="宋体" w:hint="eastAsia"/>
          <w:sz w:val="24"/>
        </w:rPr>
        <w:t>）规定了城市安全风险评估程序和要求，适用于江苏省内城市自然灾害、事故灾难的安全风险评估工作。</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2</w:t>
      </w:r>
      <w:r>
        <w:rPr>
          <w:rFonts w:ascii="Times" w:hAnsi="Times" w:cs="宋体" w:hint="eastAsia"/>
          <w:sz w:val="24"/>
        </w:rPr>
        <w:t>、必要性</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根据江苏省安全发展示范城市创建工作的要求，各市已经开展了城市安全风险评估的尝试。</w:t>
      </w:r>
      <w:r>
        <w:rPr>
          <w:rFonts w:ascii="宋体" w:hAnsi="宋体" w:cs="宋体" w:hint="eastAsia"/>
          <w:bCs/>
          <w:sz w:val="24"/>
        </w:rPr>
        <w:t>城市安全风险源的科学分类分级是开展城市安全风险评估的前提，是实施城市风险分类分级管控的基础。</w:t>
      </w:r>
      <w:r>
        <w:rPr>
          <w:rFonts w:ascii="Times" w:hAnsi="Times" w:cs="宋体" w:hint="eastAsia"/>
          <w:sz w:val="24"/>
        </w:rPr>
        <w:t>现有标准规范大多聚焦理论和</w:t>
      </w:r>
      <w:r>
        <w:rPr>
          <w:rFonts w:ascii="宋体" w:hAnsi="宋体" w:cs="宋体" w:hint="eastAsia"/>
          <w:sz w:val="24"/>
        </w:rPr>
        <w:t>宏观理念层面，或只有部分行业领域的风险评估，</w:t>
      </w:r>
      <w:r>
        <w:rPr>
          <w:rFonts w:ascii="Times" w:hAnsi="Times" w:cs="宋体" w:hint="eastAsia"/>
          <w:sz w:val="24"/>
        </w:rPr>
        <w:t>缺乏城市安全风险源辨识和分级的基础标准，</w:t>
      </w:r>
      <w:r>
        <w:rPr>
          <w:rFonts w:ascii="宋体" w:hAnsi="宋体" w:cs="宋体" w:hint="eastAsia"/>
          <w:bCs/>
          <w:sz w:val="24"/>
        </w:rPr>
        <w:t>无法实现城市风险源的标准化技术管理，</w:t>
      </w:r>
      <w:r>
        <w:rPr>
          <w:rFonts w:ascii="Times" w:hAnsi="Times" w:cs="宋体" w:hint="eastAsia"/>
          <w:sz w:val="24"/>
        </w:rPr>
        <w:t>因此各地的城市安全风险评估报告中风险源辨识和分级五花八门，城市安全风险评估统一性、协调性和规范性不足。因此，对城市安全风险源分类和分级方法和要求的标准化亟为迫切。</w:t>
      </w:r>
    </w:p>
    <w:p w:rsidR="00F72F8A" w:rsidRDefault="000A4FA3">
      <w:pPr>
        <w:spacing w:line="360" w:lineRule="auto"/>
        <w:ind w:firstLineChars="200" w:firstLine="480"/>
        <w:rPr>
          <w:rFonts w:ascii="Times" w:hAnsi="Times" w:hint="eastAsia"/>
          <w:sz w:val="24"/>
        </w:rPr>
      </w:pPr>
      <w:r>
        <w:rPr>
          <w:rFonts w:ascii="Times" w:hAnsi="Times" w:hint="eastAsia"/>
          <w:sz w:val="24"/>
        </w:rPr>
        <w:t>3</w:t>
      </w:r>
      <w:r>
        <w:rPr>
          <w:rFonts w:ascii="Times" w:hAnsi="Times" w:hint="eastAsia"/>
          <w:sz w:val="24"/>
        </w:rPr>
        <w:t>、</w:t>
      </w:r>
      <w:r>
        <w:rPr>
          <w:rFonts w:ascii="Times" w:hAnsi="Times" w:cs="宋体" w:hint="eastAsia"/>
          <w:sz w:val="24"/>
        </w:rPr>
        <w:t>可行性</w:t>
      </w:r>
    </w:p>
    <w:p w:rsidR="00F72F8A" w:rsidRDefault="000A4FA3">
      <w:pPr>
        <w:spacing w:line="360" w:lineRule="auto"/>
        <w:ind w:firstLineChars="200" w:firstLine="480"/>
        <w:rPr>
          <w:rFonts w:ascii="Times" w:hAnsi="Times" w:cs="宋体" w:hint="eastAsia"/>
          <w:sz w:val="24"/>
        </w:rPr>
      </w:pPr>
      <w:r>
        <w:rPr>
          <w:rFonts w:ascii="Times" w:hAnsi="Times" w:hint="eastAsia"/>
          <w:sz w:val="24"/>
        </w:rPr>
        <w:t>标准承担单位江苏省安全生产科学研究院是江苏省省属事业单位，是江苏省应急管理厅直属的省级科研事业单位，是全省唯一综合性安全生产科技研发机构。我院的安全生产技术标准制定在全国有较大影响，涂装作业安全标准的制定与研究全国领先，累计完成国家标准（</w:t>
      </w:r>
      <w:r>
        <w:rPr>
          <w:rFonts w:ascii="Times" w:hAnsi="Times" w:hint="eastAsia"/>
          <w:sz w:val="24"/>
        </w:rPr>
        <w:t>GB</w:t>
      </w:r>
      <w:r>
        <w:rPr>
          <w:rFonts w:ascii="Times" w:hAnsi="Times" w:hint="eastAsia"/>
          <w:sz w:val="24"/>
        </w:rPr>
        <w:t>）</w:t>
      </w:r>
      <w:r>
        <w:rPr>
          <w:rFonts w:ascii="Times" w:hAnsi="Times" w:hint="eastAsia"/>
          <w:sz w:val="24"/>
        </w:rPr>
        <w:t>13</w:t>
      </w:r>
      <w:r>
        <w:rPr>
          <w:rFonts w:ascii="Times" w:hAnsi="Times" w:hint="eastAsia"/>
          <w:sz w:val="24"/>
        </w:rPr>
        <w:t>项、安全生产行业标准（</w:t>
      </w:r>
      <w:r>
        <w:rPr>
          <w:rFonts w:ascii="Times" w:hAnsi="Times" w:hint="eastAsia"/>
          <w:sz w:val="24"/>
        </w:rPr>
        <w:t>AQ</w:t>
      </w:r>
      <w:r>
        <w:rPr>
          <w:rFonts w:ascii="Times" w:hAnsi="Times" w:hint="eastAsia"/>
          <w:sz w:val="24"/>
        </w:rPr>
        <w:t>）</w:t>
      </w:r>
      <w:r>
        <w:rPr>
          <w:rFonts w:ascii="Times" w:hAnsi="Times" w:hint="eastAsia"/>
          <w:sz w:val="24"/>
        </w:rPr>
        <w:t>17</w:t>
      </w:r>
      <w:r>
        <w:rPr>
          <w:rFonts w:ascii="Times" w:hAnsi="Times" w:hint="eastAsia"/>
          <w:sz w:val="24"/>
        </w:rPr>
        <w:t>项、省地方标准（</w:t>
      </w:r>
      <w:r>
        <w:rPr>
          <w:rFonts w:ascii="Times" w:hAnsi="Times" w:hint="eastAsia"/>
          <w:sz w:val="24"/>
        </w:rPr>
        <w:t>DB</w:t>
      </w:r>
      <w:r>
        <w:rPr>
          <w:rFonts w:ascii="Times" w:hAnsi="Times" w:hint="eastAsia"/>
          <w:sz w:val="24"/>
        </w:rPr>
        <w:t>）</w:t>
      </w:r>
      <w:r>
        <w:rPr>
          <w:rFonts w:ascii="Times" w:hAnsi="Times" w:hint="eastAsia"/>
          <w:sz w:val="24"/>
        </w:rPr>
        <w:t>53</w:t>
      </w:r>
      <w:r>
        <w:rPr>
          <w:rFonts w:ascii="Times" w:hAnsi="Times" w:hint="eastAsia"/>
          <w:sz w:val="24"/>
        </w:rPr>
        <w:t>项。</w:t>
      </w:r>
      <w:r>
        <w:rPr>
          <w:rFonts w:ascii="Times" w:hAnsi="Times" w:cs="宋体" w:hint="eastAsia"/>
          <w:sz w:val="24"/>
        </w:rPr>
        <w:t>受省应急管理厅委托，省安科院承担了</w:t>
      </w:r>
      <w:r>
        <w:rPr>
          <w:rFonts w:ascii="Times" w:hAnsi="Times" w:cs="宋体"/>
          <w:sz w:val="24"/>
        </w:rPr>
        <w:t>《</w:t>
      </w:r>
      <w:r>
        <w:rPr>
          <w:rFonts w:ascii="Times" w:hAnsi="Times" w:cs="宋体" w:hint="eastAsia"/>
          <w:sz w:val="24"/>
        </w:rPr>
        <w:t>化工园区（集中区）安全风险评估导则</w:t>
      </w:r>
      <w:r>
        <w:rPr>
          <w:rFonts w:ascii="Times" w:hAnsi="Times" w:cs="宋体"/>
          <w:sz w:val="24"/>
        </w:rPr>
        <w:t>》《</w:t>
      </w:r>
      <w:r>
        <w:rPr>
          <w:rFonts w:ascii="Times" w:hAnsi="Times" w:cs="宋体" w:hint="eastAsia"/>
          <w:sz w:val="24"/>
        </w:rPr>
        <w:t>城市应急准备能力评估规范</w:t>
      </w:r>
      <w:r>
        <w:rPr>
          <w:rFonts w:ascii="Times" w:hAnsi="Times" w:cs="宋体"/>
          <w:sz w:val="24"/>
        </w:rPr>
        <w:t>》</w:t>
      </w:r>
      <w:r>
        <w:rPr>
          <w:rFonts w:ascii="Times" w:hAnsi="Times" w:cs="宋体" w:hint="eastAsia"/>
          <w:sz w:val="24"/>
        </w:rPr>
        <w:t>《开发区整体性安全风险评估导则》</w:t>
      </w:r>
      <w:r>
        <w:rPr>
          <w:rFonts w:ascii="Times" w:hAnsi="Times" w:cs="宋体"/>
          <w:sz w:val="24"/>
        </w:rPr>
        <w:t>《江苏省工业企业较大以上安全风险目录》</w:t>
      </w:r>
      <w:r>
        <w:rPr>
          <w:rFonts w:ascii="Times" w:hAnsi="Times" w:cs="宋体" w:hint="eastAsia"/>
          <w:sz w:val="24"/>
        </w:rPr>
        <w:t>等研究工作，并协助省安委办参加了江苏省安全发展城市的调研评议。</w:t>
      </w:r>
    </w:p>
    <w:p w:rsidR="00F72F8A" w:rsidRDefault="000A4FA3">
      <w:pPr>
        <w:spacing w:line="360" w:lineRule="auto"/>
        <w:ind w:firstLineChars="200" w:firstLine="480"/>
        <w:rPr>
          <w:rFonts w:ascii="Times" w:hAnsi="Times" w:hint="eastAsia"/>
          <w:sz w:val="24"/>
        </w:rPr>
      </w:pPr>
      <w:r>
        <w:rPr>
          <w:rFonts w:ascii="Times" w:hAnsi="Times" w:hint="eastAsia"/>
          <w:sz w:val="24"/>
        </w:rPr>
        <w:t>由于本项目涉及城市安全的各个行业领域，因此接受任务之初，吸收了江苏省应急管理厅、南京工业大学、常州大学、南京信息工程大学、南京大学、东南大学、南京理工大学、南京林业大学、江苏省消防救援总队、南京市消防救援支队、南京市江宁区民政局、南京水利科学研究院、江苏省震灾风险防治中心、江苏省地质调查研究院、江苏中安科技服务有限公司、南京</w:t>
      </w:r>
      <w:r>
        <w:rPr>
          <w:rFonts w:ascii="Times" w:hAnsi="Times" w:hint="eastAsia"/>
          <w:sz w:val="24"/>
        </w:rPr>
        <w:lastRenderedPageBreak/>
        <w:t>市测绘勘察研究院股份有限公司、南京地铁建设有限责任公司、江苏省城市安全技术研究院、江苏安全技术职业学院等单位进入编制组。编制组成员均具有丰富的国家标准、行业和地方标准制修订经验以及城市公共安全各重点行业领域专业背景。因此，编制单位具有较好的研究基础，且相关研究成果也能够支撑本标准的制定与实施。</w:t>
      </w:r>
    </w:p>
    <w:p w:rsidR="00F72F8A" w:rsidRDefault="000A4FA3">
      <w:pPr>
        <w:spacing w:line="360" w:lineRule="auto"/>
        <w:ind w:firstLineChars="200" w:firstLine="480"/>
        <w:rPr>
          <w:rFonts w:ascii="Times" w:hAnsi="Times" w:hint="eastAsia"/>
          <w:sz w:val="24"/>
        </w:rPr>
      </w:pPr>
      <w:r>
        <w:rPr>
          <w:rFonts w:ascii="Times" w:hAnsi="Times" w:hint="eastAsia"/>
          <w:sz w:val="24"/>
        </w:rPr>
        <w:t>4</w:t>
      </w:r>
      <w:r>
        <w:rPr>
          <w:rFonts w:ascii="Times" w:hAnsi="Times" w:hint="eastAsia"/>
          <w:sz w:val="24"/>
        </w:rPr>
        <w:t>、预期经济</w:t>
      </w:r>
      <w:r>
        <w:rPr>
          <w:rFonts w:ascii="Times" w:hAnsi="Times" w:cs="宋体" w:hint="eastAsia"/>
          <w:sz w:val="24"/>
        </w:rPr>
        <w:t>社会效益</w:t>
      </w:r>
    </w:p>
    <w:p w:rsidR="00F72F8A" w:rsidRDefault="000A4FA3">
      <w:pPr>
        <w:spacing w:line="360" w:lineRule="auto"/>
        <w:ind w:firstLineChars="200" w:firstLine="480"/>
        <w:rPr>
          <w:rFonts w:ascii="Times" w:hAnsi="Times" w:hint="eastAsia"/>
          <w:sz w:val="24"/>
        </w:rPr>
      </w:pPr>
      <w:r>
        <w:rPr>
          <w:rFonts w:ascii="宋体" w:hAnsi="宋体" w:cs="宋体" w:hint="eastAsia"/>
          <w:sz w:val="24"/>
        </w:rPr>
        <w:t>本标准的研究制定基于安全发展示范城市建设工作和风险源建模评估研究成果，明确提出城市安全风险源的分类方法，深入研究各类风险源的分级方法和判定准则，通过建模和实证，确保本标准合理、科学、可行。标准的研究实施将打通城市安全风险评估的重要技术环节，为城市安全风险综合监测预警平台建设提供风险源分类分级依据，为提升城市安全防控水平打下坚实基础，为全面推进全省安全发展示范城市创建工作提供有力保障。</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hint="eastAsia"/>
          <w:b/>
          <w:sz w:val="28"/>
          <w:szCs w:val="28"/>
        </w:rPr>
        <w:t>任务来源</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根据</w:t>
      </w:r>
      <w:r>
        <w:rPr>
          <w:rFonts w:ascii="Times" w:hAnsi="Times" w:cs="宋体" w:hint="eastAsia"/>
          <w:sz w:val="24"/>
        </w:rPr>
        <w:t>202</w:t>
      </w:r>
      <w:r>
        <w:rPr>
          <w:rFonts w:ascii="Times" w:hAnsi="Times" w:cs="宋体"/>
          <w:sz w:val="24"/>
        </w:rPr>
        <w:t>2</w:t>
      </w:r>
      <w:r>
        <w:rPr>
          <w:rFonts w:ascii="Times" w:hAnsi="Times" w:cs="宋体" w:hint="eastAsia"/>
          <w:sz w:val="24"/>
        </w:rPr>
        <w:t>年</w:t>
      </w:r>
      <w:r>
        <w:rPr>
          <w:rFonts w:ascii="Times" w:hAnsi="Times" w:cs="宋体"/>
          <w:sz w:val="24"/>
        </w:rPr>
        <w:t>6</w:t>
      </w:r>
      <w:r>
        <w:rPr>
          <w:rFonts w:ascii="Times" w:hAnsi="Times" w:cs="宋体" w:hint="eastAsia"/>
          <w:sz w:val="24"/>
        </w:rPr>
        <w:t>月</w:t>
      </w:r>
      <w:r>
        <w:rPr>
          <w:rFonts w:ascii="Times" w:hAnsi="Times" w:cs="宋体" w:hint="eastAsia"/>
          <w:sz w:val="24"/>
        </w:rPr>
        <w:t>2</w:t>
      </w:r>
      <w:r>
        <w:rPr>
          <w:rFonts w:ascii="Times" w:hAnsi="Times" w:cs="宋体"/>
          <w:sz w:val="24"/>
        </w:rPr>
        <w:t>9</w:t>
      </w:r>
      <w:r>
        <w:rPr>
          <w:rFonts w:ascii="Times" w:hAnsi="Times" w:cs="宋体" w:hint="eastAsia"/>
          <w:sz w:val="24"/>
        </w:rPr>
        <w:t>日《省市场监督管理局关于下达</w:t>
      </w:r>
      <w:r>
        <w:rPr>
          <w:rFonts w:ascii="Times" w:hAnsi="Times" w:cs="宋体" w:hint="eastAsia"/>
          <w:sz w:val="24"/>
        </w:rPr>
        <w:t>202</w:t>
      </w:r>
      <w:r>
        <w:rPr>
          <w:rFonts w:ascii="Times" w:hAnsi="Times" w:cs="宋体"/>
          <w:sz w:val="24"/>
        </w:rPr>
        <w:t>2</w:t>
      </w:r>
      <w:r>
        <w:rPr>
          <w:rFonts w:ascii="Times" w:hAnsi="Times" w:cs="宋体" w:hint="eastAsia"/>
          <w:sz w:val="24"/>
        </w:rPr>
        <w:t>年度江苏省地方标准项目计划的通知》（苏市监标〔</w:t>
      </w:r>
      <w:r>
        <w:rPr>
          <w:rFonts w:ascii="Times" w:hAnsi="Times" w:cs="宋体" w:hint="eastAsia"/>
          <w:sz w:val="24"/>
        </w:rPr>
        <w:t>202</w:t>
      </w:r>
      <w:r>
        <w:rPr>
          <w:rFonts w:ascii="Times" w:hAnsi="Times" w:cs="宋体"/>
          <w:sz w:val="24"/>
        </w:rPr>
        <w:t>2</w:t>
      </w:r>
      <w:r>
        <w:rPr>
          <w:rFonts w:ascii="Times" w:hAnsi="Times" w:cs="宋体" w:hint="eastAsia"/>
          <w:sz w:val="24"/>
        </w:rPr>
        <w:t>〕</w:t>
      </w:r>
      <w:r>
        <w:rPr>
          <w:rFonts w:ascii="Times" w:hAnsi="Times" w:cs="宋体"/>
          <w:sz w:val="24"/>
        </w:rPr>
        <w:t>192</w:t>
      </w:r>
      <w:r>
        <w:rPr>
          <w:rFonts w:ascii="Times" w:hAnsi="Times" w:cs="宋体" w:hint="eastAsia"/>
          <w:sz w:val="24"/>
        </w:rPr>
        <w:t>号），江苏省安全生产科学研究院为第</w:t>
      </w:r>
      <w:r>
        <w:rPr>
          <w:rFonts w:ascii="Times" w:hAnsi="Times" w:cs="宋体" w:hint="eastAsia"/>
          <w:sz w:val="24"/>
        </w:rPr>
        <w:t>125</w:t>
      </w:r>
      <w:r>
        <w:rPr>
          <w:rFonts w:ascii="Times" w:hAnsi="Times" w:cs="宋体" w:hint="eastAsia"/>
          <w:sz w:val="24"/>
        </w:rPr>
        <w:t>号标准《城市安全风险源分类分级规范》（以下简称“规范”）编制承担单位。</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hint="eastAsia"/>
          <w:b/>
          <w:sz w:val="28"/>
          <w:szCs w:val="28"/>
        </w:rPr>
        <w:t>编制过程</w:t>
      </w:r>
    </w:p>
    <w:p w:rsidR="00F72F8A" w:rsidRDefault="000A4FA3">
      <w:pPr>
        <w:spacing w:line="360" w:lineRule="auto"/>
        <w:ind w:firstLineChars="200" w:firstLine="480"/>
        <w:rPr>
          <w:rFonts w:ascii="Times" w:hAnsi="Times" w:hint="eastAsia"/>
          <w:sz w:val="24"/>
        </w:rPr>
      </w:pPr>
      <w:r>
        <w:rPr>
          <w:rFonts w:ascii="Times" w:hAnsi="Times" w:hint="eastAsia"/>
          <w:sz w:val="24"/>
        </w:rPr>
        <w:t>1</w:t>
      </w:r>
      <w:r>
        <w:rPr>
          <w:rFonts w:ascii="Times" w:hAnsi="Times" w:hint="eastAsia"/>
          <w:sz w:val="24"/>
        </w:rPr>
        <w:t>、成立编制组</w:t>
      </w:r>
    </w:p>
    <w:p w:rsidR="00F72F8A" w:rsidRDefault="000A4FA3">
      <w:pPr>
        <w:spacing w:line="360" w:lineRule="auto"/>
        <w:ind w:firstLineChars="200" w:firstLine="480"/>
        <w:rPr>
          <w:rFonts w:ascii="Times" w:hAnsi="Times" w:hint="eastAsia"/>
          <w:sz w:val="24"/>
        </w:rPr>
      </w:pPr>
      <w:r>
        <w:rPr>
          <w:rFonts w:ascii="Times" w:hAnsi="Times" w:hint="eastAsia"/>
          <w:sz w:val="24"/>
        </w:rPr>
        <w:t>2022</w:t>
      </w:r>
      <w:r>
        <w:rPr>
          <w:rFonts w:ascii="Times" w:hAnsi="Times" w:hint="eastAsia"/>
          <w:sz w:val="24"/>
        </w:rPr>
        <w:t>年</w:t>
      </w:r>
      <w:r>
        <w:rPr>
          <w:rFonts w:ascii="Times" w:hAnsi="Times" w:hint="eastAsia"/>
          <w:sz w:val="24"/>
        </w:rPr>
        <w:t>6</w:t>
      </w:r>
      <w:r>
        <w:rPr>
          <w:rFonts w:ascii="Times" w:hAnsi="Times" w:hint="eastAsia"/>
          <w:sz w:val="24"/>
        </w:rPr>
        <w:t>月至</w:t>
      </w:r>
      <w:r>
        <w:rPr>
          <w:rFonts w:ascii="Times" w:hAnsi="Times" w:hint="eastAsia"/>
          <w:sz w:val="24"/>
        </w:rPr>
        <w:t>7</w:t>
      </w:r>
      <w:r>
        <w:rPr>
          <w:rFonts w:ascii="Times" w:hAnsi="Times" w:hint="eastAsia"/>
          <w:sz w:val="24"/>
        </w:rPr>
        <w:t>月期间，省安科院针对地方标准《城市安全风险源分类分级规范》的技术要求进行了深入的研讨。为此，省安科院成功举办了两次专题研讨会，特别邀请了来自江苏省内各行业领域的安全风险评估专家代表共同参与。会议的核心目标是商定标准的深化改进实施方案，并进一步明确标准中涉及的城市安全风险源的具体范围。</w:t>
      </w:r>
    </w:p>
    <w:p w:rsidR="00F72F8A" w:rsidRDefault="000A4FA3">
      <w:pPr>
        <w:spacing w:line="360" w:lineRule="auto"/>
        <w:ind w:firstLineChars="200" w:firstLine="480"/>
        <w:rPr>
          <w:rFonts w:ascii="Times" w:hAnsi="Times" w:hint="eastAsia"/>
          <w:sz w:val="24"/>
        </w:rPr>
      </w:pPr>
      <w:r>
        <w:rPr>
          <w:rFonts w:ascii="Times" w:hAnsi="Times" w:hint="eastAsia"/>
          <w:sz w:val="24"/>
        </w:rPr>
        <w:t>随后，为了推进工作的专业性和深度，省安科院成立了两个专题研究工作组，分别针对事故灾难类和自然灾害类风险源。其中，江苏省震灾风险防治中心、江苏省地质调查研究院、南京信息工程大学、南京林业大学、南京水利科学研究院等单位的专家学者联合开展了自然灾害类风险源的分类与分级研究工作；南京大学、南京理工大学、南京工业大学、南京林业大学、常州大学等高校以及江苏省消防救援总队、南京市消防救援支队、江苏安全技术职业学院、南京水利科学研究院、南京市测绘勘察研究院股份有限公司、南京地铁建设有限责任公司等单位的二十余名专家学者组成的联合开展事故灾难类风险源的分类与分级研究工作。考虑到事故灾难类风险源的复杂性，专题工作组又细分为</w:t>
      </w:r>
      <w:r>
        <w:rPr>
          <w:rFonts w:ascii="Times" w:hAnsi="Times" w:hint="eastAsia"/>
          <w:sz w:val="24"/>
        </w:rPr>
        <w:t>4</w:t>
      </w:r>
      <w:r>
        <w:rPr>
          <w:rFonts w:ascii="Times" w:hAnsi="Times" w:hint="eastAsia"/>
          <w:sz w:val="24"/>
        </w:rPr>
        <w:t>个小组，分别负责工业企业风险源、在建工程风险源、人员密集场所风险源、公共设施风险源的分类与分级研究工作。</w:t>
      </w:r>
    </w:p>
    <w:p w:rsidR="00F72F8A" w:rsidRDefault="000A4FA3">
      <w:pPr>
        <w:spacing w:line="360" w:lineRule="auto"/>
        <w:ind w:firstLineChars="200" w:firstLine="480"/>
        <w:rPr>
          <w:rFonts w:ascii="Times" w:hAnsi="Times" w:hint="eastAsia"/>
          <w:sz w:val="24"/>
        </w:rPr>
      </w:pPr>
      <w:r>
        <w:rPr>
          <w:rFonts w:ascii="Times" w:hAnsi="Times" w:hint="eastAsia"/>
          <w:sz w:val="24"/>
        </w:rPr>
        <w:lastRenderedPageBreak/>
        <w:t>编制组的扩充与细分旨在提高城市安全风险源的分类分级标准的科学性和实用性，为城市的安全风险管控提供更为有效的指导。</w:t>
      </w:r>
    </w:p>
    <w:p w:rsidR="00F72F8A" w:rsidRDefault="000A4FA3">
      <w:pPr>
        <w:spacing w:line="360" w:lineRule="auto"/>
        <w:ind w:firstLineChars="200" w:firstLine="480"/>
        <w:rPr>
          <w:rFonts w:ascii="Times" w:hAnsi="Times" w:cs="宋体" w:hint="eastAsia"/>
          <w:sz w:val="24"/>
        </w:rPr>
      </w:pPr>
      <w:r>
        <w:rPr>
          <w:rFonts w:ascii="Times" w:hAnsi="Times"/>
          <w:sz w:val="24"/>
        </w:rPr>
        <w:t>2</w:t>
      </w:r>
      <w:r>
        <w:rPr>
          <w:rFonts w:ascii="Times" w:hAnsi="Times" w:hint="eastAsia"/>
          <w:sz w:val="24"/>
        </w:rPr>
        <w:t>、</w:t>
      </w:r>
      <w:r>
        <w:rPr>
          <w:rFonts w:ascii="Times" w:hAnsi="Times" w:cs="宋体" w:hint="eastAsia"/>
          <w:sz w:val="24"/>
        </w:rPr>
        <w:t>起草、征求意见与修订</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经过近</w:t>
      </w:r>
      <w:r>
        <w:rPr>
          <w:rFonts w:ascii="Times" w:hAnsi="Times" w:cs="宋体" w:hint="eastAsia"/>
          <w:sz w:val="24"/>
        </w:rPr>
        <w:t>20</w:t>
      </w:r>
      <w:r>
        <w:rPr>
          <w:rFonts w:ascii="Times" w:hAnsi="Times" w:cs="宋体" w:hint="eastAsia"/>
          <w:sz w:val="24"/>
        </w:rPr>
        <w:t>个月的精心筹备和深入研究，各编制小组对城市安全风险源分类分级标准进行了全面而深入的调研和完善工作。在此期间，各小组广泛收集资料、实地考察、与业内专家深入交流，以确保标准的科学性和实用性。</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2024</w:t>
      </w:r>
      <w:r>
        <w:rPr>
          <w:rFonts w:ascii="Times" w:hAnsi="Times" w:cs="宋体" w:hint="eastAsia"/>
          <w:sz w:val="24"/>
        </w:rPr>
        <w:t>年</w:t>
      </w:r>
      <w:r>
        <w:rPr>
          <w:rFonts w:ascii="Times" w:hAnsi="Times" w:cs="宋体" w:hint="eastAsia"/>
          <w:sz w:val="24"/>
        </w:rPr>
        <w:t>3</w:t>
      </w:r>
      <w:r>
        <w:rPr>
          <w:rFonts w:ascii="Times" w:hAnsi="Times" w:cs="宋体" w:hint="eastAsia"/>
          <w:sz w:val="24"/>
        </w:rPr>
        <w:t>月，江苏省安全生产科学研究院（省安科院）组织了专题研究会议，对收集到的调研数据和专家意见进行了系统梳理和分析。经过多次讨论和修改，最终完成了标准征求意见稿的统稿工作。</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为了广泛征求社会各界的意见和建议，省安科院通过其官方网站公开发布了标准征求意见稿，并通过邮件、电话、信函等多种方式，向</w:t>
      </w:r>
      <w:r>
        <w:rPr>
          <w:rFonts w:ascii="Times" w:hAnsi="Times" w:cs="宋体" w:hint="eastAsia"/>
          <w:sz w:val="24"/>
        </w:rPr>
        <w:t>24</w:t>
      </w:r>
      <w:r>
        <w:rPr>
          <w:rFonts w:ascii="Times" w:hAnsi="Times" w:cs="宋体" w:hint="eastAsia"/>
          <w:sz w:val="24"/>
        </w:rPr>
        <w:t>名来自不同行业、不同单位的省安委会专家委员会专家进行了专门的意见征集。这些专家来自不同的领域和背景，他们的专业意见对于完善标准具有重要意义。</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2024</w:t>
      </w:r>
      <w:r>
        <w:rPr>
          <w:rFonts w:ascii="Times" w:hAnsi="Times" w:cs="宋体" w:hint="eastAsia"/>
          <w:sz w:val="24"/>
        </w:rPr>
        <w:t>年</w:t>
      </w:r>
      <w:r>
        <w:rPr>
          <w:rFonts w:ascii="Times" w:hAnsi="Times" w:cs="宋体" w:hint="eastAsia"/>
          <w:sz w:val="24"/>
        </w:rPr>
        <w:t>4</w:t>
      </w:r>
      <w:r>
        <w:rPr>
          <w:rFonts w:ascii="Times" w:hAnsi="Times" w:cs="宋体" w:hint="eastAsia"/>
          <w:sz w:val="24"/>
        </w:rPr>
        <w:t>月，在全省安全评价中介服务机构培训会上，省安科院对标准征求意见稿进行了报告，并再次征求了与会单位的意见和建议。这次会议为各安全评价机构提供了一个了解标准、提出建议的平台，有助于进一步完善标准内容。</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通过以上行动，省安科院共收到回复意见</w:t>
      </w:r>
      <w:r>
        <w:rPr>
          <w:rFonts w:ascii="Times" w:hAnsi="Times" w:cs="宋体" w:hint="eastAsia"/>
          <w:sz w:val="24"/>
        </w:rPr>
        <w:t>40</w:t>
      </w:r>
      <w:r>
        <w:rPr>
          <w:rFonts w:ascii="Times" w:hAnsi="Times" w:cs="宋体" w:hint="eastAsia"/>
          <w:sz w:val="24"/>
        </w:rPr>
        <w:t>条。编制小组对每一条意见都进行了认真分析和研究，并结合实际情况进行了修改和完善。最终，这些意见全部被吸收采纳，形成了标准的初审稿。</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3</w:t>
      </w:r>
      <w:r>
        <w:rPr>
          <w:rFonts w:ascii="Times" w:hAnsi="Times" w:cs="宋体" w:hint="eastAsia"/>
          <w:sz w:val="24"/>
        </w:rPr>
        <w:t>、初审与修订</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2024</w:t>
      </w:r>
      <w:r>
        <w:rPr>
          <w:rFonts w:ascii="Times" w:hAnsi="Times" w:cs="宋体" w:hint="eastAsia"/>
          <w:sz w:val="24"/>
        </w:rPr>
        <w:t>年</w:t>
      </w:r>
      <w:r>
        <w:rPr>
          <w:rFonts w:ascii="Times" w:hAnsi="Times" w:cs="宋体" w:hint="eastAsia"/>
          <w:sz w:val="24"/>
        </w:rPr>
        <w:t>5</w:t>
      </w:r>
      <w:r>
        <w:rPr>
          <w:rFonts w:ascii="Times" w:hAnsi="Times" w:cs="宋体" w:hint="eastAsia"/>
          <w:sz w:val="24"/>
        </w:rPr>
        <w:t>月，省应急管理厅组织召开了标准初审会。本次会议特邀了五位业内知名专家，他们对标准进行了全面细致的审查。专家们针对标准的形式和内容进行了深入讨论，并结合实际情况提出了</w:t>
      </w:r>
      <w:r>
        <w:rPr>
          <w:rFonts w:ascii="Times" w:hAnsi="Times" w:cs="宋体" w:hint="eastAsia"/>
          <w:sz w:val="24"/>
        </w:rPr>
        <w:t>26</w:t>
      </w:r>
      <w:r>
        <w:rPr>
          <w:rFonts w:ascii="Times" w:hAnsi="Times" w:cs="宋体" w:hint="eastAsia"/>
          <w:sz w:val="24"/>
        </w:rPr>
        <w:t>条修改意见。</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编制组对专家意见高度重视，经审慎考虑，编制组决定吸收采纳其中的</w:t>
      </w:r>
      <w:r>
        <w:rPr>
          <w:rFonts w:ascii="Times" w:hAnsi="Times" w:cs="宋体" w:hint="eastAsia"/>
          <w:sz w:val="24"/>
        </w:rPr>
        <w:t>24</w:t>
      </w:r>
      <w:r>
        <w:rPr>
          <w:rFonts w:ascii="Times" w:hAnsi="Times" w:cs="宋体" w:hint="eastAsia"/>
          <w:sz w:val="24"/>
        </w:rPr>
        <w:t>条修改意见，这些建议的采纳将有助于进一步提升标准的科学性和实用性。对于另外两条意见，编制组经过深入讨论后认为，根据政府部门分类分级监管的特定要求和实际情况，暂时无法采纳。</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4</w:t>
      </w:r>
      <w:r>
        <w:rPr>
          <w:rFonts w:ascii="Times" w:hAnsi="Times" w:cs="宋体" w:hint="eastAsia"/>
          <w:sz w:val="24"/>
        </w:rPr>
        <w:t>、审查与修订</w:t>
      </w:r>
    </w:p>
    <w:p w:rsidR="00F72F8A" w:rsidRDefault="000A4FA3">
      <w:pPr>
        <w:spacing w:line="360" w:lineRule="auto"/>
        <w:ind w:firstLineChars="200" w:firstLine="480"/>
        <w:rPr>
          <w:rFonts w:ascii="Times" w:hAnsi="Times" w:cs="宋体" w:hint="eastAsia"/>
          <w:sz w:val="24"/>
        </w:rPr>
      </w:pPr>
      <w:r>
        <w:rPr>
          <w:rFonts w:ascii="Times" w:hAnsi="Times" w:cs="宋体" w:hint="eastAsia"/>
          <w:sz w:val="24"/>
        </w:rPr>
        <w:t>2</w:t>
      </w:r>
      <w:r>
        <w:rPr>
          <w:rFonts w:ascii="Times" w:hAnsi="Times" w:cs="宋体"/>
          <w:sz w:val="24"/>
        </w:rPr>
        <w:t>024</w:t>
      </w:r>
      <w:r>
        <w:rPr>
          <w:rFonts w:ascii="Times" w:hAnsi="Times" w:cs="宋体" w:hint="eastAsia"/>
          <w:sz w:val="24"/>
        </w:rPr>
        <w:t>年</w:t>
      </w:r>
      <w:r>
        <w:rPr>
          <w:rFonts w:ascii="Times" w:hAnsi="Times" w:cs="宋体" w:hint="eastAsia"/>
          <w:sz w:val="24"/>
        </w:rPr>
        <w:t>6</w:t>
      </w:r>
      <w:r>
        <w:rPr>
          <w:rFonts w:ascii="Times" w:hAnsi="Times" w:cs="宋体" w:hint="eastAsia"/>
          <w:sz w:val="24"/>
        </w:rPr>
        <w:t>月</w:t>
      </w:r>
      <w:r>
        <w:rPr>
          <w:rFonts w:ascii="Times" w:hAnsi="Times" w:cs="宋体"/>
          <w:sz w:val="24"/>
        </w:rPr>
        <w:t>21</w:t>
      </w:r>
      <w:r>
        <w:rPr>
          <w:rFonts w:ascii="Times" w:hAnsi="Times" w:cs="宋体" w:hint="eastAsia"/>
          <w:sz w:val="24"/>
        </w:rPr>
        <w:t>日，省市场监督局在南京组织召开了标准评审会。专家组由</w:t>
      </w:r>
      <w:r>
        <w:rPr>
          <w:rFonts w:ascii="Times" w:hAnsi="Times" w:cs="宋体" w:hint="eastAsia"/>
          <w:sz w:val="24"/>
        </w:rPr>
        <w:t xml:space="preserve">                        </w:t>
      </w:r>
      <w:r>
        <w:rPr>
          <w:rFonts w:ascii="Times" w:hAnsi="Times" w:cs="宋体" w:hint="eastAsia"/>
          <w:sz w:val="24"/>
        </w:rPr>
        <w:t>严卫国、刘小勇、卞曰瑭、董留群、阚一炜、吴薇、曹思齐七位专家组成，刘小勇任组长。专</w:t>
      </w:r>
      <w:r>
        <w:rPr>
          <w:rFonts w:ascii="Times" w:hAnsi="Times" w:cs="宋体" w:hint="eastAsia"/>
          <w:sz w:val="24"/>
        </w:rPr>
        <w:lastRenderedPageBreak/>
        <w:t>家组认真听取起草组关于标准制定的说明，审阅了标准送审材料，逐条审查了标准内容后，一致同意该标准通过审查，并提出包含修改标准名称为《公共安全</w:t>
      </w:r>
      <w:r>
        <w:rPr>
          <w:rFonts w:ascii="Times" w:hAnsi="Times" w:cs="宋体" w:hint="eastAsia"/>
          <w:sz w:val="24"/>
        </w:rPr>
        <w:t xml:space="preserve"> </w:t>
      </w:r>
      <w:r>
        <w:rPr>
          <w:rFonts w:ascii="Times" w:hAnsi="Times" w:cs="宋体" w:hint="eastAsia"/>
          <w:sz w:val="24"/>
        </w:rPr>
        <w:t>城市安全风险源分类分级规范》在内的</w:t>
      </w:r>
      <w:r>
        <w:rPr>
          <w:rFonts w:ascii="Times" w:hAnsi="Times" w:cs="宋体" w:hint="eastAsia"/>
          <w:sz w:val="24"/>
        </w:rPr>
        <w:t>4</w:t>
      </w:r>
      <w:r>
        <w:rPr>
          <w:rFonts w:ascii="Times" w:hAnsi="Times" w:cs="宋体"/>
          <w:sz w:val="24"/>
        </w:rPr>
        <w:t>8</w:t>
      </w:r>
      <w:r>
        <w:rPr>
          <w:rFonts w:ascii="Times" w:hAnsi="Times" w:cs="宋体" w:hint="eastAsia"/>
          <w:sz w:val="24"/>
        </w:rPr>
        <w:t>条意见。编制组根据专家意见对标准进行逐条吸收采纳，进一步修改完善，形成了报批稿。</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hint="eastAsia"/>
          <w:b/>
          <w:sz w:val="28"/>
          <w:szCs w:val="28"/>
        </w:rPr>
        <w:t>主要内容及技术指标确立</w:t>
      </w:r>
    </w:p>
    <w:p w:rsidR="00F72F8A" w:rsidRDefault="000A4FA3">
      <w:pPr>
        <w:spacing w:line="360" w:lineRule="auto"/>
        <w:ind w:firstLineChars="200" w:firstLine="480"/>
        <w:rPr>
          <w:rFonts w:ascii="Times" w:hAnsi="Times" w:hint="eastAsia"/>
          <w:sz w:val="24"/>
        </w:rPr>
      </w:pPr>
      <w:r>
        <w:rPr>
          <w:rFonts w:ascii="Times" w:hAnsi="Times" w:hint="eastAsia"/>
          <w:sz w:val="24"/>
        </w:rPr>
        <w:t>编制单位结合江苏省安全发展城市调研、评议工作对省内城市安全风险评估工作进行了大量细致调研，通过实地调研、专家研讨和文件查阅等方式，确定了标准的主要内容和相关的技术指标。</w:t>
      </w:r>
    </w:p>
    <w:p w:rsidR="00F72F8A" w:rsidRDefault="000A4FA3">
      <w:pPr>
        <w:spacing w:line="360" w:lineRule="auto"/>
        <w:ind w:firstLineChars="200" w:firstLine="482"/>
        <w:rPr>
          <w:rFonts w:ascii="Times" w:hAnsi="Times" w:hint="eastAsia"/>
          <w:b/>
          <w:bCs/>
          <w:sz w:val="24"/>
          <w:shd w:val="clear" w:color="auto" w:fill="FFFFFF"/>
        </w:rPr>
      </w:pPr>
      <w:r>
        <w:rPr>
          <w:rFonts w:ascii="Times" w:hAnsi="Times" w:hint="eastAsia"/>
          <w:b/>
          <w:bCs/>
          <w:sz w:val="24"/>
          <w:shd w:val="clear" w:color="auto" w:fill="FFFFFF"/>
        </w:rPr>
        <w:t>1</w:t>
      </w:r>
      <w:r>
        <w:rPr>
          <w:rFonts w:ascii="Times" w:hAnsi="Times" w:hint="eastAsia"/>
          <w:b/>
          <w:bCs/>
          <w:sz w:val="24"/>
          <w:shd w:val="clear" w:color="auto" w:fill="FFFFFF"/>
        </w:rPr>
        <w:t>、主要内容</w:t>
      </w:r>
    </w:p>
    <w:p w:rsidR="00F72F8A" w:rsidRDefault="000A4FA3">
      <w:pPr>
        <w:spacing w:line="360" w:lineRule="auto"/>
        <w:ind w:firstLineChars="200" w:firstLine="482"/>
        <w:rPr>
          <w:rFonts w:ascii="Times" w:hAnsi="Times" w:hint="eastAsia"/>
          <w:sz w:val="24"/>
          <w:shd w:val="clear" w:color="auto" w:fill="FFFFFF"/>
        </w:rPr>
      </w:pPr>
      <w:r>
        <w:rPr>
          <w:rFonts w:ascii="Times" w:hAnsi="Times" w:hint="eastAsia"/>
          <w:b/>
          <w:sz w:val="24"/>
          <w:shd w:val="clear" w:color="auto" w:fill="FFFFFF"/>
        </w:rPr>
        <w:t>（</w:t>
      </w:r>
      <w:r>
        <w:rPr>
          <w:rFonts w:ascii="Times" w:hAnsi="Times" w:hint="eastAsia"/>
          <w:b/>
          <w:sz w:val="24"/>
          <w:shd w:val="clear" w:color="auto" w:fill="FFFFFF"/>
        </w:rPr>
        <w:t>1</w:t>
      </w:r>
      <w:r>
        <w:rPr>
          <w:rFonts w:ascii="Times" w:hAnsi="Times" w:hint="eastAsia"/>
          <w:b/>
          <w:sz w:val="24"/>
          <w:shd w:val="clear" w:color="auto" w:fill="FFFFFF"/>
        </w:rPr>
        <w:t>）第一章</w:t>
      </w:r>
      <w:r>
        <w:rPr>
          <w:rFonts w:ascii="Times" w:hAnsi="Times" w:hint="eastAsia"/>
          <w:sz w:val="24"/>
          <w:shd w:val="clear" w:color="auto" w:fill="FFFFFF"/>
        </w:rPr>
        <w:t>规定了标准的</w:t>
      </w:r>
      <w:r>
        <w:rPr>
          <w:rFonts w:ascii="Times" w:hAnsi="Times" w:hint="eastAsia"/>
          <w:sz w:val="24"/>
        </w:rPr>
        <w:t>适用范围</w:t>
      </w:r>
      <w:r>
        <w:rPr>
          <w:rFonts w:ascii="Times" w:hAnsi="Times" w:hint="eastAsia"/>
          <w:sz w:val="24"/>
          <w:shd w:val="clear" w:color="auto" w:fill="FFFFFF"/>
        </w:rPr>
        <w:t>。</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t>本文件规定了城市安全风险源分类分级的内容和方法。</w:t>
      </w:r>
    </w:p>
    <w:p w:rsidR="00F72F8A" w:rsidRDefault="000A4FA3">
      <w:pPr>
        <w:spacing w:line="360" w:lineRule="auto"/>
        <w:ind w:firstLineChars="200" w:firstLine="480"/>
        <w:rPr>
          <w:rFonts w:ascii="Times" w:hAnsi="Times" w:hint="eastAsia"/>
          <w:sz w:val="24"/>
        </w:rPr>
      </w:pPr>
      <w:r>
        <w:rPr>
          <w:rFonts w:ascii="Times" w:hAnsi="Times" w:hint="eastAsia"/>
          <w:sz w:val="24"/>
          <w:shd w:val="clear" w:color="auto" w:fill="FFFFFF"/>
        </w:rPr>
        <w:t>本文件适用于设区市、县级城市的自然灾害、事故灾难领域的领域的风险源分类分级。</w:t>
      </w:r>
    </w:p>
    <w:p w:rsidR="00F72F8A" w:rsidRDefault="000A4FA3">
      <w:pPr>
        <w:spacing w:line="360" w:lineRule="auto"/>
        <w:ind w:firstLineChars="200" w:firstLine="482"/>
        <w:rPr>
          <w:rFonts w:ascii="Times" w:hAnsi="Times" w:hint="eastAsia"/>
          <w:sz w:val="24"/>
        </w:rPr>
      </w:pPr>
      <w:r>
        <w:rPr>
          <w:rFonts w:ascii="Times" w:hAnsi="Times" w:hint="eastAsia"/>
          <w:b/>
          <w:sz w:val="24"/>
          <w:shd w:val="clear" w:color="auto" w:fill="FFFFFF"/>
        </w:rPr>
        <w:t>（</w:t>
      </w:r>
      <w:r>
        <w:rPr>
          <w:rFonts w:ascii="Times" w:hAnsi="Times" w:hint="eastAsia"/>
          <w:b/>
          <w:sz w:val="24"/>
          <w:shd w:val="clear" w:color="auto" w:fill="FFFFFF"/>
        </w:rPr>
        <w:t>2</w:t>
      </w:r>
      <w:r>
        <w:rPr>
          <w:rFonts w:ascii="Times" w:hAnsi="Times" w:hint="eastAsia"/>
          <w:b/>
          <w:sz w:val="24"/>
          <w:shd w:val="clear" w:color="auto" w:fill="FFFFFF"/>
        </w:rPr>
        <w:t>）第二章</w:t>
      </w:r>
      <w:r>
        <w:rPr>
          <w:rFonts w:ascii="Times" w:hAnsi="Times" w:hint="eastAsia"/>
          <w:sz w:val="24"/>
        </w:rPr>
        <w:t>列出了规范性引用的文件，主要有如下标准：</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18218 </w:t>
      </w:r>
      <w:r>
        <w:rPr>
          <w:rFonts w:ascii="Times" w:hAnsi="Times" w:hint="eastAsia"/>
          <w:sz w:val="24"/>
        </w:rPr>
        <w:t>危险化学品重大危险源辨识</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30000.18 </w:t>
      </w:r>
      <w:r>
        <w:rPr>
          <w:rFonts w:ascii="Times" w:hAnsi="Times" w:hint="eastAsia"/>
          <w:sz w:val="24"/>
        </w:rPr>
        <w:t>化学品分类和标签规范</w:t>
      </w:r>
      <w:r>
        <w:rPr>
          <w:rFonts w:ascii="Times" w:hAnsi="Times" w:hint="eastAsia"/>
          <w:sz w:val="24"/>
        </w:rPr>
        <w:t xml:space="preserve"> </w:t>
      </w:r>
      <w:r>
        <w:rPr>
          <w:rFonts w:ascii="Times" w:hAnsi="Times" w:hint="eastAsia"/>
          <w:sz w:val="24"/>
        </w:rPr>
        <w:t>第</w:t>
      </w:r>
      <w:r>
        <w:rPr>
          <w:rFonts w:ascii="Times" w:hAnsi="Times" w:hint="eastAsia"/>
          <w:sz w:val="24"/>
        </w:rPr>
        <w:t>18</w:t>
      </w:r>
      <w:r>
        <w:rPr>
          <w:rFonts w:ascii="Times" w:hAnsi="Times" w:hint="eastAsia"/>
          <w:sz w:val="24"/>
        </w:rPr>
        <w:t>部分</w:t>
      </w:r>
      <w:r>
        <w:rPr>
          <w:rFonts w:ascii="Times" w:hAnsi="Times" w:hint="eastAsia"/>
          <w:sz w:val="24"/>
        </w:rPr>
        <w:t>:</w:t>
      </w:r>
      <w:r>
        <w:rPr>
          <w:rFonts w:ascii="Times" w:hAnsi="Times" w:hint="eastAsia"/>
          <w:sz w:val="24"/>
        </w:rPr>
        <w:t>急性毒性</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36894 </w:t>
      </w:r>
      <w:r>
        <w:rPr>
          <w:rFonts w:ascii="Times" w:hAnsi="Times" w:hint="eastAsia"/>
          <w:sz w:val="24"/>
        </w:rPr>
        <w:t>危险化学品生产装置和储存设施风险基准</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GB/T 42768 </w:t>
      </w:r>
      <w:r>
        <w:rPr>
          <w:rFonts w:ascii="Times" w:hAnsi="Times" w:hint="eastAsia"/>
          <w:sz w:val="24"/>
        </w:rPr>
        <w:t>公共安全</w:t>
      </w:r>
      <w:r>
        <w:rPr>
          <w:rFonts w:ascii="Times" w:hAnsi="Times" w:hint="eastAsia"/>
          <w:sz w:val="24"/>
        </w:rPr>
        <w:t xml:space="preserve"> </w:t>
      </w:r>
      <w:r>
        <w:rPr>
          <w:rFonts w:ascii="Times" w:hAnsi="Times" w:hint="eastAsia"/>
          <w:sz w:val="24"/>
        </w:rPr>
        <w:t>城市安全风险评估</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GB/T 43991 </w:t>
      </w:r>
      <w:r>
        <w:rPr>
          <w:rFonts w:ascii="Times" w:hAnsi="Times" w:hint="eastAsia"/>
          <w:sz w:val="24"/>
        </w:rPr>
        <w:t>城市隧道运维服务规范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50011 </w:t>
      </w:r>
      <w:r>
        <w:rPr>
          <w:rFonts w:ascii="Times" w:hAnsi="Times" w:hint="eastAsia"/>
          <w:sz w:val="24"/>
        </w:rPr>
        <w:t>建筑抗震设计规范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50016 </w:t>
      </w:r>
      <w:r>
        <w:rPr>
          <w:rFonts w:ascii="Times" w:hAnsi="Times" w:hint="eastAsia"/>
          <w:sz w:val="24"/>
        </w:rPr>
        <w:t>建筑设计防火规范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50074 </w:t>
      </w:r>
      <w:r>
        <w:rPr>
          <w:rFonts w:ascii="Times" w:hAnsi="Times" w:hint="eastAsia"/>
          <w:sz w:val="24"/>
        </w:rPr>
        <w:t>石油库设计规范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50089 </w:t>
      </w:r>
      <w:r>
        <w:rPr>
          <w:rFonts w:ascii="Times" w:hAnsi="Times" w:hint="eastAsia"/>
          <w:sz w:val="24"/>
        </w:rPr>
        <w:t>民用爆炸物品工程设计安全规范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50160 </w:t>
      </w:r>
      <w:r>
        <w:rPr>
          <w:rFonts w:ascii="Times" w:hAnsi="Times" w:hint="eastAsia"/>
          <w:sz w:val="24"/>
        </w:rPr>
        <w:t>石油化工企业设计防火规范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50161 </w:t>
      </w:r>
      <w:r>
        <w:rPr>
          <w:rFonts w:ascii="Times" w:hAnsi="Times" w:hint="eastAsia"/>
          <w:sz w:val="24"/>
        </w:rPr>
        <w:t>烟花爆竹工程设计安全标准</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GB 51283 </w:t>
      </w:r>
      <w:r>
        <w:rPr>
          <w:rFonts w:ascii="Times" w:hAnsi="Times" w:hint="eastAsia"/>
          <w:sz w:val="24"/>
        </w:rPr>
        <w:t>精细化工企业工程设计防火规范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JTG F90 </w:t>
      </w:r>
      <w:r>
        <w:rPr>
          <w:rFonts w:ascii="Times" w:hAnsi="Times" w:hint="eastAsia"/>
          <w:sz w:val="24"/>
        </w:rPr>
        <w:t>公路工程施工安全技术规范</w:t>
      </w:r>
      <w:r>
        <w:rPr>
          <w:rFonts w:ascii="Times" w:hAnsi="Times" w:hint="eastAsia"/>
          <w:sz w:val="24"/>
        </w:rPr>
        <w:t xml:space="preserve"> </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JTG H12 </w:t>
      </w:r>
      <w:r>
        <w:rPr>
          <w:rFonts w:ascii="Times" w:hAnsi="Times" w:hint="eastAsia"/>
          <w:sz w:val="24"/>
        </w:rPr>
        <w:t>公路隧道养护技术规范</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SL 214 </w:t>
      </w:r>
      <w:r>
        <w:rPr>
          <w:rFonts w:ascii="Times" w:hAnsi="Times" w:hint="eastAsia"/>
          <w:sz w:val="24"/>
        </w:rPr>
        <w:t>水闸安全评价导则</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SL 252 </w:t>
      </w:r>
      <w:r>
        <w:rPr>
          <w:rFonts w:ascii="Times" w:hAnsi="Times" w:hint="eastAsia"/>
          <w:sz w:val="24"/>
        </w:rPr>
        <w:t>水利水电工程等级划分及洪水标准</w:t>
      </w:r>
    </w:p>
    <w:p w:rsidR="00F72F8A" w:rsidRDefault="000A4FA3">
      <w:pPr>
        <w:spacing w:line="360" w:lineRule="auto"/>
        <w:ind w:firstLineChars="200" w:firstLine="480"/>
        <w:rPr>
          <w:rFonts w:ascii="Times" w:hAnsi="Times" w:hint="eastAsia"/>
          <w:sz w:val="24"/>
        </w:rPr>
      </w:pPr>
      <w:r>
        <w:rPr>
          <w:rFonts w:ascii="Times" w:hAnsi="Times" w:hint="eastAsia"/>
          <w:sz w:val="24"/>
        </w:rPr>
        <w:lastRenderedPageBreak/>
        <w:t xml:space="preserve">SL 258 </w:t>
      </w:r>
      <w:r>
        <w:rPr>
          <w:rFonts w:ascii="Times" w:hAnsi="Times" w:hint="eastAsia"/>
          <w:sz w:val="24"/>
        </w:rPr>
        <w:t>水库大坝安全评价导则</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SL 316 </w:t>
      </w:r>
      <w:r>
        <w:rPr>
          <w:rFonts w:ascii="Times" w:hAnsi="Times" w:hint="eastAsia"/>
          <w:sz w:val="24"/>
        </w:rPr>
        <w:t>泵站安全鉴定规程</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SL/Z 679 </w:t>
      </w:r>
      <w:r>
        <w:rPr>
          <w:rFonts w:ascii="Times" w:hAnsi="Times" w:hint="eastAsia"/>
          <w:sz w:val="24"/>
        </w:rPr>
        <w:t>堤防工程安全评价导则</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SL 721 </w:t>
      </w:r>
      <w:r>
        <w:rPr>
          <w:rFonts w:ascii="Times" w:hAnsi="Times" w:hint="eastAsia"/>
          <w:sz w:val="24"/>
        </w:rPr>
        <w:t>水利水电工程施工安全管理导则</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SL/T 790 </w:t>
      </w:r>
      <w:r>
        <w:rPr>
          <w:rFonts w:ascii="Times" w:hAnsi="Times" w:hint="eastAsia"/>
          <w:sz w:val="24"/>
        </w:rPr>
        <w:t>水工隧洞安全鉴定规程</w:t>
      </w:r>
    </w:p>
    <w:p w:rsidR="00F72F8A" w:rsidRDefault="000A4FA3">
      <w:pPr>
        <w:spacing w:line="360" w:lineRule="auto"/>
        <w:ind w:firstLineChars="200" w:firstLine="480"/>
        <w:rPr>
          <w:rFonts w:ascii="Times" w:hAnsi="Times" w:hint="eastAsia"/>
          <w:sz w:val="24"/>
        </w:rPr>
      </w:pPr>
      <w:r>
        <w:rPr>
          <w:rFonts w:ascii="Times" w:hAnsi="Times" w:hint="eastAsia"/>
          <w:sz w:val="24"/>
        </w:rPr>
        <w:t xml:space="preserve">XF/T 1369 </w:t>
      </w:r>
      <w:r>
        <w:rPr>
          <w:rFonts w:ascii="Times" w:hAnsi="Times" w:hint="eastAsia"/>
          <w:sz w:val="24"/>
        </w:rPr>
        <w:t>人员密集场所消防安全评估导则</w:t>
      </w:r>
    </w:p>
    <w:p w:rsidR="00F72F8A" w:rsidRDefault="000A4FA3">
      <w:pPr>
        <w:spacing w:line="360" w:lineRule="auto"/>
        <w:ind w:firstLine="480"/>
        <w:rPr>
          <w:rFonts w:ascii="Times" w:hAnsi="Times" w:hint="eastAsia"/>
          <w:sz w:val="24"/>
          <w:shd w:val="clear" w:color="auto" w:fill="FFFFFF"/>
        </w:rPr>
      </w:pPr>
      <w:r>
        <w:rPr>
          <w:rFonts w:ascii="Times" w:hAnsi="Times" w:hint="eastAsia"/>
          <w:b/>
          <w:sz w:val="24"/>
          <w:shd w:val="clear" w:color="auto" w:fill="FFFFFF"/>
        </w:rPr>
        <w:t>（</w:t>
      </w:r>
      <w:r>
        <w:rPr>
          <w:rFonts w:ascii="Times" w:hAnsi="Times" w:hint="eastAsia"/>
          <w:b/>
          <w:sz w:val="24"/>
          <w:shd w:val="clear" w:color="auto" w:fill="FFFFFF"/>
        </w:rPr>
        <w:t>3</w:t>
      </w:r>
      <w:r>
        <w:rPr>
          <w:rFonts w:ascii="Times" w:hAnsi="Times" w:hint="eastAsia"/>
          <w:b/>
          <w:sz w:val="24"/>
          <w:shd w:val="clear" w:color="auto" w:fill="FFFFFF"/>
        </w:rPr>
        <w:t>）第三章</w:t>
      </w:r>
      <w:r>
        <w:rPr>
          <w:rFonts w:ascii="Times" w:hAnsi="Times" w:hint="eastAsia"/>
          <w:sz w:val="24"/>
          <w:shd w:val="clear" w:color="auto" w:fill="FFFFFF"/>
        </w:rPr>
        <w:t>对本标准中出现的重要术语给出了准确的定义。根据</w:t>
      </w:r>
      <w:r>
        <w:rPr>
          <w:rFonts w:ascii="Times" w:hAnsi="Times" w:hint="eastAsia"/>
          <w:sz w:val="24"/>
          <w:shd w:val="clear" w:color="auto" w:fill="FFFFFF"/>
        </w:rPr>
        <w:t>GB/T1.1-20</w:t>
      </w:r>
      <w:r>
        <w:rPr>
          <w:rFonts w:ascii="Times" w:hAnsi="Times"/>
          <w:sz w:val="24"/>
          <w:shd w:val="clear" w:color="auto" w:fill="FFFFFF"/>
        </w:rPr>
        <w:t>20</w:t>
      </w:r>
      <w:r>
        <w:rPr>
          <w:rFonts w:ascii="Times" w:hAnsi="Times" w:hint="eastAsia"/>
          <w:sz w:val="24"/>
          <w:shd w:val="clear" w:color="auto" w:fill="FFFFFF"/>
        </w:rPr>
        <w:t>对“术语和定义”起草和表述的要求，给出了</w:t>
      </w:r>
      <w:r>
        <w:rPr>
          <w:rFonts w:ascii="Times" w:hAnsi="Times" w:hint="eastAsia"/>
          <w:b/>
          <w:sz w:val="24"/>
          <w:shd w:val="clear" w:color="auto" w:fill="FFFFFF"/>
        </w:rPr>
        <w:t>风险、城市安全风险和城市安全风险源</w:t>
      </w:r>
      <w:r>
        <w:rPr>
          <w:rFonts w:ascii="Times" w:hAnsi="Times" w:hint="eastAsia"/>
          <w:sz w:val="24"/>
          <w:shd w:val="clear" w:color="auto" w:fill="FFFFFF"/>
        </w:rPr>
        <w:t>等</w:t>
      </w:r>
      <w:r>
        <w:rPr>
          <w:rFonts w:ascii="Times" w:hAnsi="Times" w:hint="eastAsia"/>
          <w:sz w:val="24"/>
          <w:shd w:val="clear" w:color="auto" w:fill="FFFFFF"/>
        </w:rPr>
        <w:t>3</w:t>
      </w:r>
      <w:r>
        <w:rPr>
          <w:rFonts w:ascii="Times" w:hAnsi="Times" w:hint="eastAsia"/>
          <w:sz w:val="24"/>
          <w:shd w:val="clear" w:color="auto" w:fill="FFFFFF"/>
        </w:rPr>
        <w:t>项术语的定义和英文对应词。</w:t>
      </w:r>
    </w:p>
    <w:p w:rsidR="00F72F8A" w:rsidRDefault="000A4FA3">
      <w:pPr>
        <w:spacing w:line="360" w:lineRule="auto"/>
        <w:ind w:firstLine="480"/>
        <w:rPr>
          <w:rFonts w:ascii="Times" w:hAnsi="Times" w:hint="eastAsia"/>
          <w:sz w:val="24"/>
        </w:rPr>
      </w:pPr>
      <w:r>
        <w:rPr>
          <w:rFonts w:ascii="Times" w:hAnsi="Times" w:hint="eastAsia"/>
          <w:b/>
          <w:sz w:val="24"/>
          <w:shd w:val="clear" w:color="auto" w:fill="FFFFFF"/>
        </w:rPr>
        <w:t>（</w:t>
      </w:r>
      <w:r>
        <w:rPr>
          <w:rFonts w:ascii="Times" w:hAnsi="Times" w:hint="eastAsia"/>
          <w:b/>
          <w:sz w:val="24"/>
          <w:shd w:val="clear" w:color="auto" w:fill="FFFFFF"/>
        </w:rPr>
        <w:t>4</w:t>
      </w:r>
      <w:r>
        <w:rPr>
          <w:rFonts w:ascii="Times" w:hAnsi="Times" w:hint="eastAsia"/>
          <w:b/>
          <w:sz w:val="24"/>
          <w:shd w:val="clear" w:color="auto" w:fill="FFFFFF"/>
        </w:rPr>
        <w:t>）第四章</w:t>
      </w:r>
      <w:r>
        <w:rPr>
          <w:rFonts w:ascii="Times" w:hAnsi="Times" w:hint="eastAsia"/>
          <w:sz w:val="24"/>
          <w:shd w:val="clear" w:color="auto" w:fill="FFFFFF"/>
        </w:rPr>
        <w:t>提出了风险源分类标准</w:t>
      </w:r>
      <w:r>
        <w:rPr>
          <w:rFonts w:ascii="Times" w:hAnsi="Times" w:hint="eastAsia"/>
          <w:sz w:val="24"/>
        </w:rPr>
        <w:t>，城市安全风险源分为</w:t>
      </w:r>
      <w:r>
        <w:rPr>
          <w:rFonts w:ascii="Times" w:hAnsi="Times" w:hint="eastAsia"/>
          <w:sz w:val="24"/>
        </w:rPr>
        <w:t>5</w:t>
      </w:r>
      <w:r>
        <w:rPr>
          <w:rFonts w:ascii="Times" w:hAnsi="Times" w:hint="eastAsia"/>
          <w:sz w:val="24"/>
        </w:rPr>
        <w:t>大类：工业类、人员密集场所类、公共设施类、自然灾害类和其他类。同时在各大类下提出了典型风险源。</w:t>
      </w:r>
    </w:p>
    <w:p w:rsidR="00F72F8A" w:rsidRDefault="000A4FA3">
      <w:pPr>
        <w:spacing w:line="360" w:lineRule="auto"/>
        <w:ind w:firstLine="480"/>
        <w:rPr>
          <w:rFonts w:ascii="Times" w:hAnsi="Times" w:hint="eastAsia"/>
          <w:sz w:val="24"/>
        </w:rPr>
      </w:pPr>
      <w:r>
        <w:rPr>
          <w:rFonts w:ascii="Times" w:hAnsi="Times" w:hint="eastAsia"/>
          <w:b/>
          <w:sz w:val="24"/>
        </w:rPr>
        <w:t>（</w:t>
      </w:r>
      <w:r>
        <w:rPr>
          <w:rFonts w:ascii="Times" w:hAnsi="Times" w:hint="eastAsia"/>
          <w:b/>
          <w:sz w:val="24"/>
        </w:rPr>
        <w:t>5</w:t>
      </w:r>
      <w:r>
        <w:rPr>
          <w:rFonts w:ascii="Times" w:hAnsi="Times" w:hint="eastAsia"/>
          <w:b/>
          <w:sz w:val="24"/>
        </w:rPr>
        <w:t>）第五章</w:t>
      </w:r>
      <w:r>
        <w:rPr>
          <w:rFonts w:ascii="Times" w:hAnsi="Times" w:hint="eastAsia"/>
          <w:sz w:val="24"/>
        </w:rPr>
        <w:t>对各类风险源的分级的总体原则、评分办法和分级标准。</w:t>
      </w:r>
    </w:p>
    <w:p w:rsidR="00F72F8A" w:rsidRDefault="000A4FA3">
      <w:pPr>
        <w:spacing w:line="360" w:lineRule="auto"/>
        <w:ind w:firstLine="480"/>
        <w:rPr>
          <w:rFonts w:ascii="Times" w:hAnsi="Times" w:hint="eastAsia"/>
          <w:sz w:val="24"/>
        </w:rPr>
      </w:pPr>
      <w:r>
        <w:rPr>
          <w:rFonts w:ascii="Times" w:hAnsi="Times" w:hint="eastAsia"/>
          <w:b/>
          <w:sz w:val="24"/>
        </w:rPr>
        <w:t>（</w:t>
      </w:r>
      <w:r>
        <w:rPr>
          <w:rFonts w:ascii="Times" w:hAnsi="Times" w:hint="eastAsia"/>
          <w:b/>
          <w:sz w:val="24"/>
        </w:rPr>
        <w:t>6</w:t>
      </w:r>
      <w:r>
        <w:rPr>
          <w:rFonts w:ascii="Times" w:hAnsi="Times" w:hint="eastAsia"/>
          <w:b/>
          <w:sz w:val="24"/>
        </w:rPr>
        <w:t>）参考文献</w:t>
      </w:r>
      <w:r>
        <w:rPr>
          <w:rFonts w:ascii="Times" w:hAnsi="Times" w:hint="eastAsia"/>
          <w:sz w:val="24"/>
        </w:rPr>
        <w:t>给出了文件起草过程中参考的</w:t>
      </w:r>
      <w:r>
        <w:rPr>
          <w:rFonts w:ascii="Times" w:hAnsi="Times" w:hint="eastAsia"/>
          <w:sz w:val="24"/>
        </w:rPr>
        <w:t>20</w:t>
      </w:r>
      <w:r>
        <w:rPr>
          <w:rFonts w:ascii="Times" w:hAnsi="Times" w:hint="eastAsia"/>
          <w:sz w:val="24"/>
        </w:rPr>
        <w:t>项参考文献。</w:t>
      </w:r>
    </w:p>
    <w:p w:rsidR="00F72F8A" w:rsidRDefault="000A4FA3">
      <w:pPr>
        <w:spacing w:line="360" w:lineRule="auto"/>
        <w:ind w:firstLine="480"/>
        <w:rPr>
          <w:rFonts w:ascii="Times" w:hAnsi="Times" w:hint="eastAsia"/>
          <w:b/>
          <w:bCs/>
          <w:sz w:val="24"/>
        </w:rPr>
      </w:pPr>
      <w:r>
        <w:rPr>
          <w:rFonts w:ascii="Times" w:hAnsi="Times" w:hint="eastAsia"/>
          <w:b/>
          <w:bCs/>
          <w:sz w:val="24"/>
        </w:rPr>
        <w:t>2</w:t>
      </w:r>
      <w:r>
        <w:rPr>
          <w:rFonts w:ascii="Times" w:hAnsi="Times" w:hint="eastAsia"/>
          <w:b/>
          <w:bCs/>
          <w:sz w:val="24"/>
        </w:rPr>
        <w:t>、主要技术指标确立</w:t>
      </w:r>
    </w:p>
    <w:p w:rsidR="00F72F8A" w:rsidRDefault="000A4FA3">
      <w:pPr>
        <w:spacing w:line="360" w:lineRule="auto"/>
        <w:ind w:firstLine="480"/>
        <w:rPr>
          <w:rFonts w:ascii="Times" w:hAnsi="Times" w:hint="eastAsia"/>
          <w:b/>
          <w:bCs/>
          <w:sz w:val="24"/>
        </w:rPr>
      </w:pPr>
      <w:r>
        <w:rPr>
          <w:rFonts w:ascii="Times" w:hAnsi="Times" w:hint="eastAsia"/>
          <w:b/>
          <w:bCs/>
          <w:sz w:val="24"/>
        </w:rPr>
        <w:t>（</w:t>
      </w:r>
      <w:r>
        <w:rPr>
          <w:rFonts w:ascii="Times" w:hAnsi="Times" w:hint="eastAsia"/>
          <w:b/>
          <w:bCs/>
          <w:sz w:val="24"/>
        </w:rPr>
        <w:t>1</w:t>
      </w:r>
      <w:r>
        <w:rPr>
          <w:rFonts w:ascii="Times" w:hAnsi="Times" w:hint="eastAsia"/>
          <w:b/>
          <w:bCs/>
          <w:sz w:val="24"/>
        </w:rPr>
        <w:t>）术语和定义</w:t>
      </w:r>
    </w:p>
    <w:p w:rsidR="00F72F8A" w:rsidRDefault="000A4FA3">
      <w:pPr>
        <w:spacing w:line="360" w:lineRule="auto"/>
        <w:ind w:firstLine="480"/>
        <w:rPr>
          <w:rFonts w:ascii="Times" w:hAnsi="Times" w:hint="eastAsia"/>
          <w:sz w:val="24"/>
        </w:rPr>
      </w:pPr>
      <w:r>
        <w:rPr>
          <w:rFonts w:ascii="Times" w:hAnsi="Times" w:hint="eastAsia"/>
          <w:sz w:val="24"/>
        </w:rPr>
        <w:t>3.1</w:t>
      </w:r>
      <w:r>
        <w:rPr>
          <w:rFonts w:ascii="Times" w:hAnsi="Times" w:hint="eastAsia"/>
          <w:sz w:val="24"/>
        </w:rPr>
        <w:t>风险的定义来源于</w:t>
      </w:r>
      <w:r>
        <w:rPr>
          <w:rFonts w:ascii="Times" w:hAnsi="Times" w:hint="eastAsia"/>
          <w:sz w:val="24"/>
        </w:rPr>
        <w:t>GB/T 42768-2023</w:t>
      </w:r>
      <w:r>
        <w:rPr>
          <w:rFonts w:ascii="Times" w:hAnsi="Times" w:hint="eastAsia"/>
          <w:sz w:val="24"/>
        </w:rPr>
        <w:t>，</w:t>
      </w:r>
      <w:r>
        <w:rPr>
          <w:rFonts w:ascii="Times" w:hAnsi="Times" w:hint="eastAsia"/>
          <w:sz w:val="24"/>
        </w:rPr>
        <w:t>3.1</w:t>
      </w:r>
      <w:r>
        <w:rPr>
          <w:rFonts w:ascii="Times" w:hAnsi="Times" w:hint="eastAsia"/>
          <w:sz w:val="24"/>
        </w:rPr>
        <w:t>。</w:t>
      </w:r>
    </w:p>
    <w:p w:rsidR="00F72F8A" w:rsidRDefault="000A4FA3">
      <w:pPr>
        <w:spacing w:line="360" w:lineRule="auto"/>
        <w:ind w:firstLine="480"/>
        <w:rPr>
          <w:rFonts w:ascii="Times" w:hAnsi="Times" w:hint="eastAsia"/>
          <w:sz w:val="24"/>
        </w:rPr>
      </w:pPr>
      <w:r>
        <w:rPr>
          <w:rFonts w:ascii="Times" w:hAnsi="Times" w:hint="eastAsia"/>
          <w:sz w:val="24"/>
        </w:rPr>
        <w:t>3.2</w:t>
      </w:r>
      <w:r>
        <w:rPr>
          <w:rFonts w:ascii="Times" w:hAnsi="Times" w:hint="eastAsia"/>
          <w:sz w:val="24"/>
        </w:rPr>
        <w:t>城市安全风险的定义为发生危险事件或有害暴露的可能性，与随之引发的人身伤害、健康损害、财产损失、城市运行破坏、生态环境危害和负面社会影响的严重性的组合。定义来源于</w:t>
      </w:r>
      <w:r>
        <w:rPr>
          <w:rFonts w:ascii="Times" w:hAnsi="Times" w:hint="eastAsia"/>
          <w:sz w:val="24"/>
        </w:rPr>
        <w:t>GB/T 42768-2023</w:t>
      </w:r>
      <w:r>
        <w:rPr>
          <w:rFonts w:ascii="Times" w:hAnsi="Times" w:hint="eastAsia"/>
          <w:sz w:val="24"/>
        </w:rPr>
        <w:t>，</w:t>
      </w:r>
      <w:r>
        <w:rPr>
          <w:rFonts w:ascii="Times" w:hAnsi="Times" w:hint="eastAsia"/>
          <w:sz w:val="24"/>
        </w:rPr>
        <w:t>3.3</w:t>
      </w:r>
      <w:r>
        <w:rPr>
          <w:rFonts w:ascii="Times" w:hAnsi="Times" w:hint="eastAsia"/>
          <w:sz w:val="24"/>
        </w:rPr>
        <w:t>，有修改，强调了负面社会影响。</w:t>
      </w:r>
    </w:p>
    <w:p w:rsidR="00F72F8A" w:rsidRDefault="000A4FA3">
      <w:pPr>
        <w:spacing w:line="360" w:lineRule="auto"/>
        <w:ind w:firstLine="480"/>
        <w:rPr>
          <w:rFonts w:ascii="Times" w:hAnsi="Times" w:hint="eastAsia"/>
          <w:sz w:val="24"/>
        </w:rPr>
      </w:pPr>
      <w:r>
        <w:rPr>
          <w:rFonts w:ascii="Times" w:hAnsi="Times" w:hint="eastAsia"/>
          <w:sz w:val="24"/>
        </w:rPr>
        <w:t>3.3</w:t>
      </w:r>
      <w:r>
        <w:rPr>
          <w:rFonts w:ascii="Times" w:hAnsi="Times" w:hint="eastAsia"/>
          <w:sz w:val="24"/>
        </w:rPr>
        <w:t>城市安全风险源的定义为“可能单独或共同引发城市安全风险的内在要素”。城市安全风险源应相对独立，具有明确物理边界和安全管理责任单位。</w:t>
      </w:r>
    </w:p>
    <w:p w:rsidR="00F72F8A" w:rsidRDefault="000A4FA3">
      <w:pPr>
        <w:spacing w:line="360" w:lineRule="auto"/>
        <w:ind w:firstLine="480"/>
        <w:rPr>
          <w:rFonts w:ascii="Times" w:hAnsi="Times" w:hint="eastAsia"/>
          <w:b/>
          <w:bCs/>
          <w:sz w:val="24"/>
        </w:rPr>
      </w:pPr>
      <w:r>
        <w:rPr>
          <w:rFonts w:ascii="Times" w:hAnsi="Times" w:hint="eastAsia"/>
          <w:b/>
          <w:bCs/>
          <w:sz w:val="24"/>
        </w:rPr>
        <w:t>（</w:t>
      </w:r>
      <w:r>
        <w:rPr>
          <w:rFonts w:ascii="Times" w:hAnsi="Times" w:hint="eastAsia"/>
          <w:b/>
          <w:bCs/>
          <w:sz w:val="24"/>
        </w:rPr>
        <w:t>2</w:t>
      </w:r>
      <w:r>
        <w:rPr>
          <w:rFonts w:ascii="Times" w:hAnsi="Times" w:hint="eastAsia"/>
          <w:b/>
          <w:bCs/>
          <w:sz w:val="24"/>
        </w:rPr>
        <w:t>）风险源分类</w:t>
      </w:r>
    </w:p>
    <w:p w:rsidR="00F72F8A" w:rsidRDefault="000A4FA3">
      <w:pPr>
        <w:spacing w:line="360" w:lineRule="auto"/>
        <w:ind w:firstLine="480"/>
        <w:rPr>
          <w:rFonts w:ascii="Times" w:hAnsi="Times" w:hint="eastAsia"/>
          <w:sz w:val="24"/>
        </w:rPr>
      </w:pPr>
      <w:r>
        <w:rPr>
          <w:rFonts w:ascii="Times" w:hAnsi="Times" w:hint="eastAsia"/>
          <w:sz w:val="24"/>
        </w:rPr>
        <w:t>根据《国家安全发展示范城市建设指导手册》（安委办函〔</w:t>
      </w:r>
      <w:r>
        <w:rPr>
          <w:rFonts w:ascii="Times" w:hAnsi="Times" w:hint="eastAsia"/>
          <w:sz w:val="24"/>
        </w:rPr>
        <w:t>2020</w:t>
      </w:r>
      <w:r>
        <w:rPr>
          <w:rFonts w:ascii="Times" w:hAnsi="Times" w:hint="eastAsia"/>
          <w:sz w:val="24"/>
        </w:rPr>
        <w:t>〕</w:t>
      </w:r>
      <w:r>
        <w:rPr>
          <w:rFonts w:ascii="Times" w:hAnsi="Times" w:hint="eastAsia"/>
          <w:sz w:val="24"/>
        </w:rPr>
        <w:t>56</w:t>
      </w:r>
      <w:r>
        <w:rPr>
          <w:rFonts w:ascii="Times" w:hAnsi="Times" w:hint="eastAsia"/>
          <w:sz w:val="24"/>
        </w:rPr>
        <w:t>号）和《江苏省安全发展示范城市创建指南》，城市安全风险防控重点包括城市工业企业、人员密集区域、公共设施和自然灾害四大类。</w:t>
      </w:r>
    </w:p>
    <w:p w:rsidR="00F72F8A" w:rsidRDefault="000A4FA3">
      <w:pPr>
        <w:spacing w:line="360" w:lineRule="auto"/>
        <w:ind w:firstLine="480"/>
        <w:rPr>
          <w:rFonts w:ascii="Times" w:hAnsi="Times" w:hint="eastAsia"/>
          <w:sz w:val="24"/>
        </w:rPr>
      </w:pPr>
      <w:r>
        <w:rPr>
          <w:rFonts w:ascii="Times" w:hAnsi="Times" w:hint="eastAsia"/>
          <w:sz w:val="24"/>
        </w:rPr>
        <w:t>为提高工业企业风险辨识报告的准确性、全面性，我省先后出台了《江苏省工业企业安全生产风险报告规定》（省政府令第</w:t>
      </w:r>
      <w:r>
        <w:rPr>
          <w:rFonts w:ascii="Times" w:hAnsi="Times" w:hint="eastAsia"/>
          <w:sz w:val="24"/>
        </w:rPr>
        <w:t>140</w:t>
      </w:r>
      <w:r>
        <w:rPr>
          <w:rFonts w:ascii="Times" w:hAnsi="Times" w:hint="eastAsia"/>
          <w:sz w:val="24"/>
        </w:rPr>
        <w:t>号）和《江苏省工业企业较大以上安全生产风险目录》（共</w:t>
      </w:r>
      <w:r>
        <w:rPr>
          <w:rFonts w:ascii="Times" w:hAnsi="Times" w:hint="eastAsia"/>
          <w:sz w:val="24"/>
        </w:rPr>
        <w:t>5</w:t>
      </w:r>
      <w:r>
        <w:rPr>
          <w:rFonts w:ascii="Times" w:hAnsi="Times" w:hint="eastAsia"/>
          <w:sz w:val="24"/>
        </w:rPr>
        <w:t>批），上述文件中对于工业企业的分类是确定本标准工业企业类风险源典型风险源的基础。</w:t>
      </w:r>
    </w:p>
    <w:p w:rsidR="00F72F8A" w:rsidRDefault="000A4FA3">
      <w:pPr>
        <w:spacing w:line="360" w:lineRule="auto"/>
        <w:ind w:firstLine="480"/>
        <w:rPr>
          <w:rFonts w:ascii="Times" w:hAnsi="Times" w:hint="eastAsia"/>
          <w:sz w:val="24"/>
        </w:rPr>
      </w:pPr>
      <w:r>
        <w:rPr>
          <w:rFonts w:ascii="Times" w:hAnsi="Times" w:hint="eastAsia"/>
          <w:sz w:val="24"/>
        </w:rPr>
        <w:lastRenderedPageBreak/>
        <w:t>人员密集场所类风险源的典型风险源主要是根据消防法规定的人员密集场所确定。</w:t>
      </w:r>
    </w:p>
    <w:p w:rsidR="00F72F8A" w:rsidRDefault="000A4FA3">
      <w:pPr>
        <w:spacing w:line="360" w:lineRule="auto"/>
        <w:ind w:firstLine="480"/>
        <w:rPr>
          <w:rFonts w:ascii="Times" w:hAnsi="Times" w:hint="eastAsia"/>
          <w:sz w:val="24"/>
        </w:rPr>
      </w:pPr>
      <w:r>
        <w:rPr>
          <w:rFonts w:ascii="Times" w:hAnsi="Times" w:hint="eastAsia"/>
          <w:sz w:val="24"/>
        </w:rPr>
        <w:t>公共设施类风险源的典型风险源主要参考</w:t>
      </w:r>
      <w:r>
        <w:rPr>
          <w:rFonts w:ascii="Times" w:hAnsi="Times" w:hint="eastAsia"/>
          <w:sz w:val="24"/>
        </w:rPr>
        <w:t>GB/T 42768</w:t>
      </w:r>
      <w:r>
        <w:rPr>
          <w:rFonts w:ascii="Times" w:hAnsi="Times" w:hint="eastAsia"/>
          <w:sz w:val="24"/>
        </w:rPr>
        <w:t>附录</w:t>
      </w:r>
      <w:r>
        <w:rPr>
          <w:rFonts w:ascii="Times" w:hAnsi="Times" w:hint="eastAsia"/>
          <w:sz w:val="24"/>
        </w:rPr>
        <w:t>A</w:t>
      </w:r>
      <w:r>
        <w:rPr>
          <w:rFonts w:ascii="Times" w:hAnsi="Times" w:hint="eastAsia"/>
          <w:sz w:val="24"/>
        </w:rPr>
        <w:t>并结合江苏省情确定。</w:t>
      </w:r>
    </w:p>
    <w:p w:rsidR="00F72F8A" w:rsidRDefault="000A4FA3">
      <w:pPr>
        <w:spacing w:line="360" w:lineRule="auto"/>
        <w:ind w:firstLine="480"/>
        <w:rPr>
          <w:rFonts w:ascii="Times" w:hAnsi="Times" w:hint="eastAsia"/>
          <w:sz w:val="24"/>
        </w:rPr>
      </w:pPr>
      <w:r>
        <w:rPr>
          <w:rFonts w:ascii="Times" w:hAnsi="Times" w:hint="eastAsia"/>
          <w:sz w:val="24"/>
        </w:rPr>
        <w:t>自然灾害类风险源的典型风险源主要是根据江苏省自然灾害的灾种确定。</w:t>
      </w:r>
    </w:p>
    <w:p w:rsidR="00F72F8A" w:rsidRDefault="000A4FA3">
      <w:pPr>
        <w:spacing w:line="360" w:lineRule="auto"/>
        <w:ind w:firstLine="480"/>
        <w:rPr>
          <w:rFonts w:ascii="Times" w:hAnsi="Times" w:hint="eastAsia"/>
          <w:sz w:val="24"/>
        </w:rPr>
      </w:pPr>
      <w:r>
        <w:rPr>
          <w:rFonts w:ascii="Times" w:hAnsi="Times" w:hint="eastAsia"/>
          <w:sz w:val="24"/>
        </w:rPr>
        <w:t>未列入四大类的风险源属于其他类风险源。</w:t>
      </w:r>
    </w:p>
    <w:p w:rsidR="00F72F8A" w:rsidRDefault="000A4FA3">
      <w:pPr>
        <w:spacing w:line="360" w:lineRule="auto"/>
        <w:ind w:firstLineChars="200" w:firstLine="482"/>
        <w:rPr>
          <w:rFonts w:ascii="Times" w:hAnsi="Times" w:hint="eastAsia"/>
          <w:b/>
          <w:bCs/>
          <w:sz w:val="24"/>
        </w:rPr>
      </w:pPr>
      <w:r>
        <w:rPr>
          <w:rFonts w:ascii="Times" w:hAnsi="Times" w:hint="eastAsia"/>
          <w:b/>
          <w:bCs/>
          <w:sz w:val="24"/>
        </w:rPr>
        <w:t>（</w:t>
      </w:r>
      <w:r>
        <w:rPr>
          <w:rFonts w:ascii="Times" w:hAnsi="Times" w:hint="eastAsia"/>
          <w:b/>
          <w:bCs/>
          <w:sz w:val="24"/>
        </w:rPr>
        <w:t>3</w:t>
      </w:r>
      <w:r>
        <w:rPr>
          <w:rFonts w:ascii="Times" w:hAnsi="Times" w:hint="eastAsia"/>
          <w:b/>
          <w:bCs/>
          <w:sz w:val="24"/>
        </w:rPr>
        <w:t>）风险源分级</w:t>
      </w:r>
    </w:p>
    <w:p w:rsidR="00F72F8A" w:rsidRDefault="000A4FA3">
      <w:pPr>
        <w:spacing w:line="360" w:lineRule="auto"/>
        <w:ind w:firstLineChars="200" w:firstLine="482"/>
        <w:rPr>
          <w:rFonts w:ascii="Times" w:hAnsi="Times" w:hint="eastAsia"/>
          <w:b/>
          <w:bCs/>
          <w:sz w:val="24"/>
        </w:rPr>
      </w:pPr>
      <w:r>
        <w:rPr>
          <w:rFonts w:ascii="Times" w:hAnsi="Times" w:hint="eastAsia"/>
          <w:b/>
          <w:bCs/>
          <w:sz w:val="24"/>
        </w:rPr>
        <w:t>5.1</w:t>
      </w:r>
      <w:r>
        <w:rPr>
          <w:rFonts w:ascii="Times" w:hAnsi="Times" w:hint="eastAsia"/>
          <w:b/>
          <w:bCs/>
          <w:sz w:val="24"/>
        </w:rPr>
        <w:t>分级规则提出了风险源分级的总体原则。</w:t>
      </w:r>
    </w:p>
    <w:p w:rsidR="00F72F8A" w:rsidRDefault="000A4FA3">
      <w:pPr>
        <w:spacing w:line="360" w:lineRule="auto"/>
        <w:ind w:leftChars="228" w:left="479"/>
        <w:rPr>
          <w:rFonts w:ascii="Times" w:hAnsi="Times" w:hint="eastAsia"/>
          <w:sz w:val="24"/>
        </w:rPr>
      </w:pPr>
      <w:r>
        <w:rPr>
          <w:rFonts w:ascii="Times" w:hAnsi="Times" w:hint="eastAsia"/>
          <w:sz w:val="24"/>
        </w:rPr>
        <w:t>5.1.1</w:t>
      </w:r>
      <w:r>
        <w:rPr>
          <w:rFonts w:ascii="Times" w:hAnsi="Times" w:hint="eastAsia"/>
          <w:sz w:val="24"/>
        </w:rPr>
        <w:t>风险源根据风险从高到低分为重大风险、较大风险、一般风险和低风险四个等级。</w:t>
      </w:r>
      <w:r>
        <w:rPr>
          <w:rFonts w:ascii="Times" w:hAnsi="Times" w:hint="eastAsia"/>
          <w:sz w:val="24"/>
        </w:rPr>
        <w:t>5.1.2</w:t>
      </w:r>
      <w:r>
        <w:rPr>
          <w:rFonts w:ascii="Times" w:hAnsi="Times" w:hint="eastAsia"/>
          <w:sz w:val="24"/>
        </w:rPr>
        <w:t>提出当同一企业涉及多个行业领域，按照就高不就低的原则确定风险源级别。</w:t>
      </w:r>
    </w:p>
    <w:p w:rsidR="00F72F8A" w:rsidRDefault="000A4FA3">
      <w:pPr>
        <w:spacing w:line="360" w:lineRule="auto"/>
        <w:ind w:firstLineChars="200" w:firstLine="482"/>
        <w:rPr>
          <w:rFonts w:ascii="Times" w:hAnsi="Times" w:hint="eastAsia"/>
          <w:b/>
          <w:bCs/>
          <w:sz w:val="24"/>
        </w:rPr>
      </w:pPr>
      <w:r>
        <w:rPr>
          <w:rFonts w:ascii="Times" w:hAnsi="Times" w:hint="eastAsia"/>
          <w:b/>
          <w:bCs/>
          <w:sz w:val="24"/>
        </w:rPr>
        <w:t>5.2</w:t>
      </w:r>
      <w:r>
        <w:rPr>
          <w:rFonts w:ascii="Times" w:hAnsi="Times" w:hint="eastAsia"/>
          <w:b/>
          <w:bCs/>
          <w:sz w:val="24"/>
        </w:rPr>
        <w:t>工业类风险源</w:t>
      </w:r>
    </w:p>
    <w:p w:rsidR="00F72F8A" w:rsidRDefault="000A4FA3">
      <w:pPr>
        <w:spacing w:line="360" w:lineRule="auto"/>
        <w:ind w:firstLineChars="200" w:firstLine="480"/>
        <w:rPr>
          <w:rFonts w:ascii="Times" w:hAnsi="Times" w:hint="eastAsia"/>
          <w:sz w:val="24"/>
        </w:rPr>
      </w:pPr>
      <w:r>
        <w:rPr>
          <w:rFonts w:ascii="Times" w:hAnsi="Times" w:hint="eastAsia"/>
          <w:sz w:val="24"/>
        </w:rPr>
        <w:t>分别给出了化工医药企业、烟花爆竹、民爆企业、冶金、有色、建材、机械、轻工、纺织企业、油气站场、船舶制造企业、油气长输管道和在建工程类风险源评分标准和分级标准，并规定民用飞机制造企业、危险废物处置企业、水的生产和供应企业、电力生产企业、物流仓储、油气站场等其他工业类风险源应按照</w:t>
      </w:r>
      <w:r>
        <w:rPr>
          <w:rFonts w:ascii="Times" w:hAnsi="Times" w:hint="eastAsia"/>
          <w:sz w:val="24"/>
        </w:rPr>
        <w:t>GB/T 42768</w:t>
      </w:r>
      <w:r>
        <w:rPr>
          <w:rFonts w:ascii="Times" w:hAnsi="Times" w:hint="eastAsia"/>
          <w:sz w:val="24"/>
        </w:rPr>
        <w:t>进行分级。</w:t>
      </w:r>
    </w:p>
    <w:p w:rsidR="00F72F8A" w:rsidRDefault="000A4FA3">
      <w:pPr>
        <w:spacing w:line="360" w:lineRule="auto"/>
        <w:ind w:firstLineChars="200" w:firstLine="480"/>
        <w:rPr>
          <w:rFonts w:ascii="Times" w:hAnsi="Times" w:hint="eastAsia"/>
          <w:sz w:val="24"/>
        </w:rPr>
      </w:pPr>
      <w:r>
        <w:rPr>
          <w:rFonts w:ascii="Times" w:hAnsi="Times" w:hint="eastAsia"/>
          <w:sz w:val="24"/>
        </w:rPr>
        <w:t>5.2.1</w:t>
      </w:r>
      <w:r>
        <w:rPr>
          <w:rFonts w:ascii="Times" w:hAnsi="Times" w:hint="eastAsia"/>
          <w:sz w:val="24"/>
        </w:rPr>
        <w:t>化工医药企业的评分标准和分级标准主要是根据《江苏省化工（危险化学品）企业安全风险评估和分级办法》提供的评分方法进行修改，根据“发生事故的可能性（</w:t>
      </w:r>
      <w:r>
        <w:rPr>
          <w:rFonts w:ascii="Times" w:hAnsi="Times" w:hint="eastAsia"/>
          <w:sz w:val="24"/>
        </w:rPr>
        <w:t>L</w:t>
      </w:r>
      <w:r>
        <w:rPr>
          <w:rFonts w:ascii="Times" w:hAnsi="Times" w:hint="eastAsia"/>
          <w:sz w:val="24"/>
        </w:rPr>
        <w:t>）”表和“事故后果的严重性”表取值，对化工医药企业进行评级。</w:t>
      </w:r>
    </w:p>
    <w:p w:rsidR="00F72F8A" w:rsidRPr="00F72F8A" w:rsidRDefault="00F72F8A">
      <w:pPr>
        <w:spacing w:line="360" w:lineRule="auto"/>
        <w:ind w:firstLineChars="200" w:firstLine="480"/>
        <w:rPr>
          <w:rFonts w:ascii="Times" w:hAnsi="Times" w:hint="eastAsia"/>
          <w:color w:val="000000" w:themeColor="text1"/>
          <w:sz w:val="24"/>
        </w:rPr>
      </w:pPr>
      <w:r w:rsidRPr="00F72F8A">
        <w:rPr>
          <w:rFonts w:ascii="Times" w:hAnsi="Times" w:hint="eastAsia"/>
          <w:color w:val="000000" w:themeColor="text1"/>
          <w:sz w:val="24"/>
        </w:rPr>
        <w:t>5.2.2</w:t>
      </w:r>
      <w:r w:rsidRPr="00F72F8A">
        <w:rPr>
          <w:rFonts w:ascii="Times" w:hAnsi="Times" w:hint="eastAsia"/>
          <w:color w:val="000000" w:themeColor="text1"/>
          <w:sz w:val="24"/>
        </w:rPr>
        <w:t>烟花爆竹和民爆企业根据安全距离要求和空气冲击波超压阈值确定风险等级。根据</w:t>
      </w:r>
      <w:r w:rsidRPr="00F72F8A">
        <w:rPr>
          <w:rFonts w:ascii="Times" w:hAnsi="Times" w:hint="eastAsia"/>
          <w:color w:val="000000" w:themeColor="text1"/>
          <w:sz w:val="24"/>
        </w:rPr>
        <w:t>GB 18265-2020</w:t>
      </w:r>
      <w:r w:rsidRPr="00F72F8A">
        <w:rPr>
          <w:rFonts w:ascii="Times" w:hAnsi="Times" w:hint="eastAsia"/>
          <w:color w:val="000000" w:themeColor="text1"/>
          <w:sz w:val="24"/>
        </w:rPr>
        <w:t>、</w:t>
      </w:r>
      <w:r w:rsidRPr="00F72F8A">
        <w:rPr>
          <w:rFonts w:ascii="Times" w:hAnsi="Times" w:hint="eastAsia"/>
          <w:color w:val="000000" w:themeColor="text1"/>
          <w:sz w:val="24"/>
        </w:rPr>
        <w:t>GB 50016</w:t>
      </w:r>
      <w:r w:rsidRPr="00F72F8A">
        <w:rPr>
          <w:rFonts w:ascii="Times" w:hAnsi="Times" w:hint="eastAsia"/>
          <w:color w:val="000000" w:themeColor="text1"/>
          <w:sz w:val="24"/>
        </w:rPr>
        <w:t>、</w:t>
      </w:r>
      <w:r w:rsidRPr="00F72F8A">
        <w:rPr>
          <w:rFonts w:ascii="Times" w:hAnsi="Times" w:hint="eastAsia"/>
          <w:color w:val="000000" w:themeColor="text1"/>
          <w:sz w:val="24"/>
        </w:rPr>
        <w:t>GB50160</w:t>
      </w:r>
      <w:r w:rsidRPr="00F72F8A">
        <w:rPr>
          <w:rFonts w:ascii="Times" w:hAnsi="Times" w:hint="eastAsia"/>
          <w:color w:val="000000" w:themeColor="text1"/>
          <w:sz w:val="24"/>
        </w:rPr>
        <w:t>等标准，安全距离要求的最大值为</w:t>
      </w:r>
      <w:r w:rsidRPr="00F72F8A">
        <w:rPr>
          <w:rFonts w:ascii="Times" w:hAnsi="Times" w:hint="eastAsia"/>
          <w:color w:val="000000" w:themeColor="text1"/>
          <w:sz w:val="24"/>
        </w:rPr>
        <w:t>1000m</w:t>
      </w:r>
      <w:r w:rsidRPr="00F72F8A">
        <w:rPr>
          <w:rFonts w:ascii="Times" w:hAnsi="Times" w:hint="eastAsia"/>
          <w:color w:val="000000" w:themeColor="text1"/>
          <w:sz w:val="24"/>
        </w:rPr>
        <w:t>；根据</w:t>
      </w:r>
      <w:r w:rsidRPr="00F72F8A">
        <w:rPr>
          <w:rFonts w:ascii="Times" w:hAnsi="Times" w:hint="eastAsia"/>
          <w:color w:val="000000" w:themeColor="text1"/>
          <w:sz w:val="24"/>
        </w:rPr>
        <w:t>GB/T 37243-2019</w:t>
      </w:r>
      <w:r w:rsidRPr="00F72F8A">
        <w:rPr>
          <w:rFonts w:ascii="Times" w:hAnsi="Times" w:hint="eastAsia"/>
          <w:color w:val="000000" w:themeColor="text1"/>
          <w:sz w:val="24"/>
        </w:rPr>
        <w:t>中</w:t>
      </w:r>
      <w:r w:rsidRPr="00F72F8A">
        <w:rPr>
          <w:rFonts w:ascii="Times" w:hAnsi="Times" w:hint="eastAsia"/>
          <w:color w:val="000000" w:themeColor="text1"/>
          <w:sz w:val="24"/>
        </w:rPr>
        <w:t>5.4.1</w:t>
      </w:r>
      <w:r w:rsidRPr="00F72F8A">
        <w:rPr>
          <w:rFonts w:ascii="Times" w:hAnsi="Times" w:hint="eastAsia"/>
          <w:color w:val="000000" w:themeColor="text1"/>
          <w:sz w:val="24"/>
        </w:rPr>
        <w:t>空气冲击波超压阈值说明：</w:t>
      </w:r>
      <w:r w:rsidR="00F11D06">
        <w:rPr>
          <w:rFonts w:ascii="Times" w:hAnsi="Times" w:hint="eastAsia"/>
          <w:color w:val="000000" w:themeColor="text1"/>
          <w:sz w:val="24"/>
        </w:rPr>
        <w:t>2000</w:t>
      </w:r>
      <w:r w:rsidRPr="00F72F8A">
        <w:rPr>
          <w:rFonts w:ascii="Times" w:hAnsi="Times" w:hint="eastAsia"/>
          <w:color w:val="000000" w:themeColor="text1"/>
          <w:sz w:val="24"/>
        </w:rPr>
        <w:t>Pa</w:t>
      </w:r>
      <w:r w:rsidRPr="00F72F8A">
        <w:rPr>
          <w:rFonts w:ascii="Times" w:hAnsi="Times" w:hint="eastAsia"/>
          <w:color w:val="000000" w:themeColor="text1"/>
          <w:sz w:val="24"/>
        </w:rPr>
        <w:t>阈值为对建筑物基本无破坏的上限；</w:t>
      </w:r>
      <w:r w:rsidR="00F11D06">
        <w:rPr>
          <w:rFonts w:ascii="Times" w:hAnsi="Times" w:hint="eastAsia"/>
          <w:color w:val="000000" w:themeColor="text1"/>
          <w:sz w:val="24"/>
        </w:rPr>
        <w:t>5000</w:t>
      </w:r>
      <w:r w:rsidRPr="00F72F8A">
        <w:rPr>
          <w:rFonts w:ascii="Times" w:hAnsi="Times" w:hint="eastAsia"/>
          <w:color w:val="000000" w:themeColor="text1"/>
          <w:sz w:val="24"/>
        </w:rPr>
        <w:t>Pa</w:t>
      </w:r>
      <w:r w:rsidRPr="00F72F8A">
        <w:rPr>
          <w:rFonts w:ascii="Times" w:hAnsi="Times" w:hint="eastAsia"/>
          <w:color w:val="000000" w:themeColor="text1"/>
          <w:sz w:val="24"/>
        </w:rPr>
        <w:t>阈值为对建筑物造成次轻度破坏</w:t>
      </w:r>
      <w:r w:rsidR="00F11D06">
        <w:rPr>
          <w:rFonts w:ascii="Times" w:hAnsi="Times" w:hint="eastAsia"/>
          <w:color w:val="000000" w:themeColor="text1"/>
          <w:sz w:val="24"/>
        </w:rPr>
        <w:t>(2000</w:t>
      </w:r>
      <w:r w:rsidRPr="00F72F8A">
        <w:rPr>
          <w:rFonts w:ascii="Times" w:hAnsi="Times" w:hint="eastAsia"/>
          <w:color w:val="000000" w:themeColor="text1"/>
          <w:sz w:val="24"/>
        </w:rPr>
        <w:t>Pa</w:t>
      </w:r>
      <w:r w:rsidRPr="00F72F8A">
        <w:rPr>
          <w:rFonts w:ascii="宋体" w:hAnsi="宋体" w:cs="宋体" w:hint="eastAsia"/>
          <w:color w:val="000000" w:themeColor="text1"/>
          <w:sz w:val="24"/>
        </w:rPr>
        <w:t>～</w:t>
      </w:r>
      <w:r w:rsidRPr="00F72F8A">
        <w:rPr>
          <w:rFonts w:ascii="Times" w:hAnsi="Times" w:hint="eastAsia"/>
          <w:color w:val="000000" w:themeColor="text1"/>
          <w:sz w:val="24"/>
        </w:rPr>
        <w:t>9</w:t>
      </w:r>
      <w:r w:rsidR="00F11D06">
        <w:rPr>
          <w:rFonts w:ascii="Times" w:hAnsi="Times" w:hint="eastAsia"/>
          <w:color w:val="000000" w:themeColor="text1"/>
          <w:sz w:val="24"/>
        </w:rPr>
        <w:t xml:space="preserve"> 000</w:t>
      </w:r>
      <w:r w:rsidRPr="00F72F8A">
        <w:rPr>
          <w:rFonts w:ascii="Times" w:hAnsi="Times" w:hint="eastAsia"/>
          <w:color w:val="000000" w:themeColor="text1"/>
          <w:sz w:val="24"/>
        </w:rPr>
        <w:t>Pa)</w:t>
      </w:r>
      <w:r w:rsidRPr="00F72F8A">
        <w:rPr>
          <w:rFonts w:ascii="Times" w:hAnsi="Times" w:hint="eastAsia"/>
          <w:color w:val="000000" w:themeColor="text1"/>
          <w:sz w:val="24"/>
        </w:rPr>
        <w:t>的中等偏下，有可能造成玻璃全部破碎，瓦屋面少量移动，内墙面抹灰少量掉落；</w:t>
      </w:r>
      <w:r w:rsidRPr="00F72F8A">
        <w:rPr>
          <w:rFonts w:ascii="Times" w:hAnsi="Times" w:hint="eastAsia"/>
          <w:color w:val="000000" w:themeColor="text1"/>
          <w:sz w:val="24"/>
        </w:rPr>
        <w:t>9 000 Pa</w:t>
      </w:r>
      <w:r w:rsidRPr="00F72F8A">
        <w:rPr>
          <w:rFonts w:ascii="Times" w:hAnsi="Times" w:hint="eastAsia"/>
          <w:color w:val="000000" w:themeColor="text1"/>
          <w:sz w:val="24"/>
        </w:rPr>
        <w:t>阈值为造成建筑物次轻度破坏</w:t>
      </w:r>
      <w:r w:rsidRPr="00F72F8A">
        <w:rPr>
          <w:rFonts w:ascii="Times" w:hAnsi="Times" w:hint="eastAsia"/>
          <w:color w:val="000000" w:themeColor="text1"/>
          <w:sz w:val="24"/>
        </w:rPr>
        <w:t>(2000 Pa</w:t>
      </w:r>
      <w:r w:rsidRPr="00F72F8A">
        <w:rPr>
          <w:rFonts w:ascii="Times" w:hAnsi="Times" w:hint="eastAsia"/>
          <w:color w:val="000000" w:themeColor="text1"/>
          <w:sz w:val="24"/>
        </w:rPr>
        <w:t>～</w:t>
      </w:r>
      <w:r w:rsidR="00F11D06">
        <w:rPr>
          <w:rFonts w:ascii="Times" w:hAnsi="Times" w:hint="eastAsia"/>
          <w:color w:val="000000" w:themeColor="text1"/>
          <w:sz w:val="24"/>
        </w:rPr>
        <w:t>9 000</w:t>
      </w:r>
      <w:r w:rsidRPr="00F72F8A">
        <w:rPr>
          <w:rFonts w:ascii="Times" w:hAnsi="Times" w:hint="eastAsia"/>
          <w:color w:val="000000" w:themeColor="text1"/>
          <w:sz w:val="24"/>
        </w:rPr>
        <w:t>Pa)</w:t>
      </w:r>
      <w:r w:rsidRPr="00F72F8A">
        <w:rPr>
          <w:rFonts w:ascii="Times" w:hAnsi="Times" w:hint="eastAsia"/>
          <w:color w:val="000000" w:themeColor="text1"/>
          <w:sz w:val="24"/>
        </w:rPr>
        <w:t>的上限，有可能造成房屋建筑物部分破坏不能居住，钢结构的建筑轻微变形，对钢筋混凝土柱无损坏；以上阈值基本不会对室外人员造成直接死亡。本文件根据</w:t>
      </w:r>
      <w:r w:rsidRPr="00F72F8A">
        <w:rPr>
          <w:rFonts w:ascii="Times" w:hAnsi="Times" w:hint="eastAsia"/>
          <w:color w:val="000000" w:themeColor="text1"/>
          <w:sz w:val="24"/>
        </w:rPr>
        <w:t>1000</w:t>
      </w:r>
      <w:r w:rsidR="00F11D06">
        <w:rPr>
          <w:rFonts w:ascii="Times" w:hAnsi="Times" w:hint="eastAsia"/>
          <w:color w:val="000000" w:themeColor="text1"/>
          <w:sz w:val="24"/>
        </w:rPr>
        <w:t>m</w:t>
      </w:r>
      <w:r w:rsidRPr="00F72F8A">
        <w:rPr>
          <w:rFonts w:ascii="Times" w:hAnsi="Times" w:hint="eastAsia"/>
          <w:color w:val="000000" w:themeColor="text1"/>
          <w:sz w:val="24"/>
        </w:rPr>
        <w:t>处空气冲击波超压</w:t>
      </w:r>
      <w:r w:rsidRPr="00F72F8A">
        <w:rPr>
          <w:rFonts w:ascii="Times" w:hAnsi="Times" w:hint="eastAsia"/>
          <w:color w:val="000000" w:themeColor="text1"/>
          <w:sz w:val="24"/>
        </w:rPr>
        <w:t>2000Pa</w:t>
      </w:r>
      <w:r w:rsidRPr="00F72F8A">
        <w:rPr>
          <w:rFonts w:ascii="Times" w:hAnsi="Times" w:hint="eastAsia"/>
          <w:color w:val="000000" w:themeColor="text1"/>
          <w:sz w:val="24"/>
        </w:rPr>
        <w:t>、</w:t>
      </w:r>
      <w:r w:rsidRPr="00F72F8A">
        <w:rPr>
          <w:rFonts w:ascii="Times" w:hAnsi="Times" w:hint="eastAsia"/>
          <w:color w:val="000000" w:themeColor="text1"/>
          <w:sz w:val="24"/>
        </w:rPr>
        <w:t>5000Pa</w:t>
      </w:r>
      <w:r w:rsidRPr="00F72F8A">
        <w:rPr>
          <w:rFonts w:ascii="Times" w:hAnsi="Times" w:hint="eastAsia"/>
          <w:color w:val="000000" w:themeColor="text1"/>
          <w:sz w:val="24"/>
        </w:rPr>
        <w:t>和</w:t>
      </w:r>
      <w:r w:rsidRPr="00F72F8A">
        <w:rPr>
          <w:rFonts w:ascii="Times" w:hAnsi="Times" w:hint="eastAsia"/>
          <w:color w:val="000000" w:themeColor="text1"/>
          <w:sz w:val="24"/>
        </w:rPr>
        <w:t>9000Pa</w:t>
      </w:r>
      <w:r w:rsidRPr="00F72F8A">
        <w:rPr>
          <w:rFonts w:ascii="Times" w:hAnsi="Times" w:hint="eastAsia"/>
          <w:color w:val="000000" w:themeColor="text1"/>
          <w:sz w:val="24"/>
        </w:rPr>
        <w:t>计算出三个</w:t>
      </w:r>
      <w:r w:rsidRPr="00F72F8A">
        <w:rPr>
          <w:rFonts w:ascii="Times" w:hAnsi="Times" w:hint="eastAsia"/>
          <w:color w:val="000000" w:themeColor="text1"/>
          <w:sz w:val="24"/>
        </w:rPr>
        <w:t>TNT</w:t>
      </w:r>
      <w:r w:rsidRPr="00F72F8A">
        <w:rPr>
          <w:rFonts w:ascii="Times" w:hAnsi="Times" w:hint="eastAsia"/>
          <w:color w:val="000000" w:themeColor="text1"/>
          <w:sz w:val="24"/>
        </w:rPr>
        <w:t>炸药当量值，作为四级风险划分的界线。在具体风险评估过程中，烟花爆竹企业</w:t>
      </w:r>
      <w:r w:rsidRPr="00F72F8A">
        <w:rPr>
          <w:rFonts w:ascii="Times" w:hAnsi="Times" w:hint="eastAsia"/>
          <w:color w:val="000000" w:themeColor="text1"/>
          <w:sz w:val="24"/>
        </w:rPr>
        <w:t>TNT</w:t>
      </w:r>
      <w:r w:rsidRPr="00F72F8A">
        <w:rPr>
          <w:rFonts w:ascii="Times" w:hAnsi="Times" w:hint="eastAsia"/>
          <w:color w:val="000000" w:themeColor="text1"/>
          <w:sz w:val="24"/>
        </w:rPr>
        <w:t>炸药当量根据</w:t>
      </w:r>
      <w:r w:rsidRPr="00F72F8A">
        <w:rPr>
          <w:rFonts w:ascii="Times" w:hAnsi="Times" w:hint="eastAsia"/>
          <w:color w:val="000000" w:themeColor="text1"/>
          <w:sz w:val="24"/>
        </w:rPr>
        <w:t>GB 50161-2022</w:t>
      </w:r>
      <w:r w:rsidRPr="00F72F8A">
        <w:rPr>
          <w:rFonts w:ascii="Times" w:hAnsi="Times" w:hint="eastAsia"/>
          <w:color w:val="000000" w:themeColor="text1"/>
          <w:sz w:val="24"/>
        </w:rPr>
        <w:t>附录</w:t>
      </w:r>
      <w:r w:rsidRPr="00F72F8A">
        <w:rPr>
          <w:rFonts w:ascii="Times" w:hAnsi="Times" w:hint="eastAsia"/>
          <w:color w:val="000000" w:themeColor="text1"/>
          <w:sz w:val="24"/>
        </w:rPr>
        <w:t>A</w:t>
      </w:r>
      <w:r w:rsidRPr="00F72F8A">
        <w:rPr>
          <w:rFonts w:ascii="Times" w:hAnsi="Times" w:hint="eastAsia"/>
          <w:color w:val="000000" w:themeColor="text1"/>
          <w:sz w:val="24"/>
        </w:rPr>
        <w:t>计算，民爆企业</w:t>
      </w:r>
      <w:r w:rsidRPr="00F72F8A">
        <w:rPr>
          <w:rFonts w:ascii="Times" w:hAnsi="Times" w:hint="eastAsia"/>
          <w:color w:val="000000" w:themeColor="text1"/>
          <w:sz w:val="24"/>
        </w:rPr>
        <w:t>TNT</w:t>
      </w:r>
      <w:r w:rsidRPr="00F72F8A">
        <w:rPr>
          <w:rFonts w:ascii="Times" w:hAnsi="Times" w:hint="eastAsia"/>
          <w:color w:val="000000" w:themeColor="text1"/>
          <w:sz w:val="24"/>
        </w:rPr>
        <w:t>炸药当量根据</w:t>
      </w:r>
      <w:r w:rsidRPr="00F72F8A">
        <w:rPr>
          <w:rFonts w:ascii="Times" w:hAnsi="Times" w:hint="eastAsia"/>
          <w:color w:val="000000" w:themeColor="text1"/>
          <w:sz w:val="24"/>
        </w:rPr>
        <w:t>GB 50089-2018</w:t>
      </w:r>
      <w:r w:rsidRPr="00F72F8A">
        <w:rPr>
          <w:rFonts w:ascii="Times" w:hAnsi="Times" w:hint="eastAsia"/>
          <w:color w:val="000000" w:themeColor="text1"/>
          <w:sz w:val="24"/>
        </w:rPr>
        <w:t>附录</w:t>
      </w:r>
      <w:r w:rsidRPr="00F72F8A">
        <w:rPr>
          <w:rFonts w:ascii="Times" w:hAnsi="Times" w:hint="eastAsia"/>
          <w:color w:val="000000" w:themeColor="text1"/>
          <w:sz w:val="24"/>
        </w:rPr>
        <w:t>B</w:t>
      </w:r>
      <w:r w:rsidRPr="00F72F8A">
        <w:rPr>
          <w:rFonts w:ascii="Times" w:hAnsi="Times" w:hint="eastAsia"/>
          <w:color w:val="000000" w:themeColor="text1"/>
          <w:sz w:val="24"/>
        </w:rPr>
        <w:t>计算。</w:t>
      </w:r>
    </w:p>
    <w:p w:rsidR="00F72F8A" w:rsidRDefault="000A4FA3">
      <w:pPr>
        <w:spacing w:line="360" w:lineRule="auto"/>
        <w:ind w:firstLineChars="200" w:firstLine="480"/>
        <w:rPr>
          <w:rFonts w:ascii="Times" w:hAnsi="Times" w:hint="eastAsia"/>
          <w:sz w:val="24"/>
        </w:rPr>
      </w:pPr>
      <w:r>
        <w:rPr>
          <w:rFonts w:ascii="Times" w:hAnsi="Times" w:hint="eastAsia"/>
          <w:sz w:val="24"/>
        </w:rPr>
        <w:t>5.2.3</w:t>
      </w:r>
      <w:r>
        <w:rPr>
          <w:rFonts w:ascii="Times" w:hAnsi="Times" w:hint="eastAsia"/>
          <w:sz w:val="24"/>
        </w:rPr>
        <w:t>冶金、有色、建材、机械、轻工、纺织、烟草企业风险源辨识标准根据《江苏省工贸行业企业安全生产分类分级监管执法实施办法（试行）》分级监管的标准确定风险分级标准。</w:t>
      </w:r>
    </w:p>
    <w:p w:rsidR="00F72F8A" w:rsidRDefault="000A4FA3">
      <w:pPr>
        <w:spacing w:line="360" w:lineRule="auto"/>
        <w:ind w:firstLineChars="200" w:firstLine="480"/>
        <w:rPr>
          <w:rFonts w:ascii="Times" w:hAnsi="Times" w:hint="eastAsia"/>
          <w:sz w:val="24"/>
        </w:rPr>
      </w:pPr>
      <w:r>
        <w:rPr>
          <w:rFonts w:ascii="Times" w:hAnsi="Times" w:hint="eastAsia"/>
          <w:sz w:val="24"/>
        </w:rPr>
        <w:t>5.2.4</w:t>
      </w:r>
      <w:r>
        <w:rPr>
          <w:rFonts w:ascii="Times" w:hAnsi="Times" w:hint="eastAsia"/>
          <w:sz w:val="24"/>
        </w:rPr>
        <w:t>明确煤矿风险源按照《国家煤矿安监局关于煤矿分类监管监察工作的指导意见》中</w:t>
      </w:r>
      <w:r>
        <w:rPr>
          <w:rFonts w:ascii="Times" w:hAnsi="Times" w:hint="eastAsia"/>
          <w:sz w:val="24"/>
        </w:rPr>
        <w:lastRenderedPageBreak/>
        <w:t>的安全保障程度进行分级。从煤矿安全管理、灾害程度、生产布局、装备工艺、安全诚信、安全生产标准化建设、人员素质及生产建设状态等方面评估煤矿安全保障程度，安全保障程度从高到低确定为</w:t>
      </w:r>
      <w:r>
        <w:rPr>
          <w:rFonts w:ascii="Times" w:hAnsi="Times" w:hint="eastAsia"/>
          <w:sz w:val="24"/>
        </w:rPr>
        <w:t>A</w:t>
      </w:r>
      <w:r>
        <w:rPr>
          <w:rFonts w:ascii="Times" w:hAnsi="Times" w:hint="eastAsia"/>
          <w:sz w:val="24"/>
        </w:rPr>
        <w:t>、</w:t>
      </w:r>
      <w:r>
        <w:rPr>
          <w:rFonts w:ascii="Times" w:hAnsi="Times" w:hint="eastAsia"/>
          <w:sz w:val="24"/>
        </w:rPr>
        <w:t>B</w:t>
      </w:r>
      <w:r>
        <w:rPr>
          <w:rFonts w:ascii="Times" w:hAnsi="Times" w:hint="eastAsia"/>
          <w:sz w:val="24"/>
        </w:rPr>
        <w:t>、</w:t>
      </w:r>
      <w:r>
        <w:rPr>
          <w:rFonts w:ascii="Times" w:hAnsi="Times" w:hint="eastAsia"/>
          <w:sz w:val="24"/>
        </w:rPr>
        <w:t>C</w:t>
      </w:r>
      <w:r>
        <w:rPr>
          <w:rFonts w:ascii="Times" w:hAnsi="Times" w:hint="eastAsia"/>
          <w:sz w:val="24"/>
        </w:rPr>
        <w:t>，</w:t>
      </w:r>
      <w:r>
        <w:rPr>
          <w:rFonts w:ascii="Times" w:hAnsi="Times" w:hint="eastAsia"/>
          <w:sz w:val="24"/>
        </w:rPr>
        <w:t>D</w:t>
      </w:r>
      <w:r>
        <w:rPr>
          <w:rFonts w:ascii="Times" w:hAnsi="Times" w:hint="eastAsia"/>
          <w:sz w:val="24"/>
        </w:rPr>
        <w:t>四类。</w:t>
      </w:r>
      <w:r>
        <w:rPr>
          <w:rFonts w:ascii="Times" w:hAnsi="Times" w:hint="eastAsia"/>
          <w:sz w:val="24"/>
        </w:rPr>
        <w:t>A</w:t>
      </w:r>
      <w:r>
        <w:rPr>
          <w:rFonts w:ascii="Times" w:hAnsi="Times" w:hint="eastAsia"/>
          <w:sz w:val="24"/>
        </w:rPr>
        <w:t>类煤矿为安全保障程度较高的煤矿，</w:t>
      </w:r>
      <w:r>
        <w:rPr>
          <w:rFonts w:ascii="Times" w:hAnsi="Times" w:hint="eastAsia"/>
          <w:sz w:val="24"/>
        </w:rPr>
        <w:t>B</w:t>
      </w:r>
      <w:r>
        <w:rPr>
          <w:rFonts w:ascii="Times" w:hAnsi="Times" w:hint="eastAsia"/>
          <w:sz w:val="24"/>
        </w:rPr>
        <w:t>类煤矿为安全保障程度一般的煤矿，</w:t>
      </w:r>
      <w:r>
        <w:rPr>
          <w:rFonts w:ascii="Times" w:hAnsi="Times" w:hint="eastAsia"/>
          <w:sz w:val="24"/>
        </w:rPr>
        <w:t>C</w:t>
      </w:r>
      <w:r>
        <w:rPr>
          <w:rFonts w:ascii="Times" w:hAnsi="Times" w:hint="eastAsia"/>
          <w:sz w:val="24"/>
        </w:rPr>
        <w:t>类煤矿为安全保障程度较低的煤矿，</w:t>
      </w:r>
      <w:r>
        <w:rPr>
          <w:rFonts w:ascii="Times" w:hAnsi="Times" w:hint="eastAsia"/>
          <w:sz w:val="24"/>
        </w:rPr>
        <w:t>D</w:t>
      </w:r>
      <w:r>
        <w:rPr>
          <w:rFonts w:ascii="Times" w:hAnsi="Times" w:hint="eastAsia"/>
          <w:sz w:val="24"/>
        </w:rPr>
        <w:t>类煤矿为长期停工停产煤矿。因此</w:t>
      </w:r>
      <w:r>
        <w:rPr>
          <w:rFonts w:ascii="Times" w:hAnsi="Times" w:hint="eastAsia"/>
          <w:sz w:val="24"/>
        </w:rPr>
        <w:t>A</w:t>
      </w:r>
      <w:r>
        <w:rPr>
          <w:rFonts w:ascii="Times" w:hAnsi="Times" w:hint="eastAsia"/>
          <w:sz w:val="24"/>
        </w:rPr>
        <w:t>、</w:t>
      </w:r>
      <w:r>
        <w:rPr>
          <w:rFonts w:ascii="Times" w:hAnsi="Times" w:hint="eastAsia"/>
          <w:sz w:val="24"/>
        </w:rPr>
        <w:t>B</w:t>
      </w:r>
      <w:r>
        <w:rPr>
          <w:rFonts w:ascii="Times" w:hAnsi="Times" w:hint="eastAsia"/>
          <w:sz w:val="24"/>
        </w:rPr>
        <w:t>、</w:t>
      </w:r>
      <w:r>
        <w:rPr>
          <w:rFonts w:ascii="Times" w:hAnsi="Times" w:hint="eastAsia"/>
          <w:sz w:val="24"/>
        </w:rPr>
        <w:t>C</w:t>
      </w:r>
      <w:r>
        <w:rPr>
          <w:rFonts w:ascii="Times" w:hAnsi="Times" w:hint="eastAsia"/>
          <w:sz w:val="24"/>
        </w:rPr>
        <w:t>，</w:t>
      </w:r>
      <w:r>
        <w:rPr>
          <w:rFonts w:ascii="Times" w:hAnsi="Times" w:hint="eastAsia"/>
          <w:sz w:val="24"/>
        </w:rPr>
        <w:t>D</w:t>
      </w:r>
      <w:r>
        <w:rPr>
          <w:rFonts w:ascii="Times" w:hAnsi="Times" w:hint="eastAsia"/>
          <w:sz w:val="24"/>
        </w:rPr>
        <w:t>四类安全保障程度分别对应低、一般、较大和重大风险。</w:t>
      </w:r>
    </w:p>
    <w:p w:rsidR="00F72F8A" w:rsidRDefault="000A4FA3">
      <w:pPr>
        <w:spacing w:line="360" w:lineRule="auto"/>
        <w:ind w:firstLineChars="200" w:firstLine="480"/>
        <w:rPr>
          <w:rFonts w:ascii="Times" w:hAnsi="Times" w:hint="eastAsia"/>
          <w:sz w:val="24"/>
        </w:rPr>
      </w:pPr>
      <w:r>
        <w:rPr>
          <w:rFonts w:ascii="Times" w:hAnsi="Times" w:hint="eastAsia"/>
          <w:sz w:val="24"/>
        </w:rPr>
        <w:t>5.2.5</w:t>
      </w:r>
      <w:r>
        <w:rPr>
          <w:rFonts w:ascii="Times" w:hAnsi="Times" w:hint="eastAsia"/>
          <w:sz w:val="24"/>
        </w:rPr>
        <w:t>明确非煤矿山危险源按照《非煤矿山安全风险分级监管办法》进行综合评估分级。</w:t>
      </w:r>
    </w:p>
    <w:p w:rsidR="00F72F8A" w:rsidRDefault="000A4FA3">
      <w:pPr>
        <w:spacing w:line="360" w:lineRule="auto"/>
        <w:ind w:firstLineChars="200" w:firstLine="480"/>
        <w:rPr>
          <w:rFonts w:ascii="Times" w:hAnsi="Times" w:hint="eastAsia"/>
          <w:sz w:val="24"/>
        </w:rPr>
      </w:pPr>
      <w:r>
        <w:rPr>
          <w:rFonts w:ascii="Times" w:hAnsi="Times" w:hint="eastAsia"/>
          <w:sz w:val="24"/>
        </w:rPr>
        <w:t>5.2.6</w:t>
      </w:r>
      <w:r>
        <w:rPr>
          <w:rFonts w:ascii="Times" w:hAnsi="Times" w:hint="eastAsia"/>
          <w:sz w:val="24"/>
        </w:rPr>
        <w:t>油气站场危险源根据《危险化学品生产、储存装置个人可接受风险标准和社会可接受风险标准》中的</w:t>
      </w:r>
      <w:r>
        <w:rPr>
          <w:rFonts w:ascii="Times" w:hAnsi="Times" w:hint="eastAsia"/>
          <w:b/>
          <w:sz w:val="24"/>
        </w:rPr>
        <w:t>危险指数法</w:t>
      </w:r>
      <w:r>
        <w:rPr>
          <w:rFonts w:ascii="Times" w:hAnsi="Times" w:hint="eastAsia"/>
          <w:sz w:val="24"/>
        </w:rPr>
        <w:t>进行评估分级。</w:t>
      </w:r>
    </w:p>
    <w:p w:rsidR="00F72F8A" w:rsidRDefault="000A4FA3">
      <w:pPr>
        <w:spacing w:line="360" w:lineRule="auto"/>
        <w:ind w:firstLineChars="200" w:firstLine="480"/>
        <w:rPr>
          <w:rFonts w:ascii="Times" w:hAnsi="Times" w:hint="eastAsia"/>
          <w:sz w:val="24"/>
        </w:rPr>
      </w:pPr>
      <w:r>
        <w:rPr>
          <w:rFonts w:ascii="Times" w:hAnsi="Times" w:hint="eastAsia"/>
          <w:sz w:val="24"/>
        </w:rPr>
        <w:t>5.2.7</w:t>
      </w:r>
      <w:r>
        <w:rPr>
          <w:rFonts w:ascii="Times" w:hAnsi="Times" w:hint="eastAsia"/>
          <w:sz w:val="24"/>
        </w:rPr>
        <w:t>船舶制造企业风险源参考了省内</w:t>
      </w:r>
      <w:bookmarkStart w:id="0" w:name="_GoBack"/>
      <w:bookmarkEnd w:id="0"/>
      <w:r>
        <w:rPr>
          <w:rFonts w:ascii="Times" w:hAnsi="Times" w:hint="eastAsia"/>
          <w:sz w:val="24"/>
        </w:rPr>
        <w:t>城市的安全风险评估报告，考虑到船舶制造与机械制造工艺、公众有较大的相似之处，以机械制造企业安全风险分级方法为基础进行了修订，根据员工总数、企业规模、重大危险源、生产工艺、煤气等易燃易爆气体和危险作业情况进行评分，并综合评定级别。</w:t>
      </w:r>
    </w:p>
    <w:p w:rsidR="00F72F8A" w:rsidRDefault="000A4FA3">
      <w:pPr>
        <w:spacing w:line="360" w:lineRule="auto"/>
        <w:ind w:firstLineChars="200" w:firstLine="480"/>
        <w:rPr>
          <w:rFonts w:ascii="Times" w:hAnsi="Times" w:hint="eastAsia"/>
          <w:sz w:val="24"/>
        </w:rPr>
      </w:pPr>
      <w:r>
        <w:rPr>
          <w:rFonts w:ascii="Times" w:hAnsi="Times" w:hint="eastAsia"/>
          <w:sz w:val="24"/>
        </w:rPr>
        <w:t>5.2.8</w:t>
      </w:r>
      <w:r>
        <w:rPr>
          <w:rFonts w:ascii="Times" w:hAnsi="Times" w:hint="eastAsia"/>
          <w:sz w:val="24"/>
        </w:rPr>
        <w:t>油气长输管道风险源应根据《油气长输管道人员密集型高后果区安全风险排查评估指南（试行）》进行评估分级。</w:t>
      </w:r>
    </w:p>
    <w:p w:rsidR="00F72F8A" w:rsidRDefault="000A4FA3">
      <w:pPr>
        <w:spacing w:line="360" w:lineRule="auto"/>
        <w:ind w:firstLineChars="200" w:firstLine="480"/>
        <w:rPr>
          <w:rFonts w:ascii="Times" w:hAnsi="Times" w:hint="eastAsia"/>
          <w:sz w:val="24"/>
        </w:rPr>
      </w:pPr>
      <w:r>
        <w:rPr>
          <w:rFonts w:ascii="Times" w:hAnsi="Times" w:hint="eastAsia"/>
          <w:sz w:val="24"/>
        </w:rPr>
        <w:t>5.2.9</w:t>
      </w:r>
      <w:r>
        <w:rPr>
          <w:rFonts w:ascii="Times" w:hAnsi="Times" w:hint="eastAsia"/>
          <w:sz w:val="24"/>
        </w:rPr>
        <w:t>在建工程风险源根据施工项目进行划分，按照工程项目涉及伟大工程的数量确定项目事故可能性等级，根据事故后果的严重性确定风险损失的等级，在此基础上综合评定建筑施工风险源的等级。</w:t>
      </w:r>
    </w:p>
    <w:p w:rsidR="00F72F8A" w:rsidRDefault="000A4FA3">
      <w:pPr>
        <w:spacing w:line="360" w:lineRule="auto"/>
        <w:ind w:firstLineChars="200" w:firstLine="480"/>
        <w:rPr>
          <w:rFonts w:ascii="Times" w:hAnsi="Times" w:hint="eastAsia"/>
          <w:sz w:val="24"/>
        </w:rPr>
      </w:pPr>
      <w:r>
        <w:rPr>
          <w:rFonts w:ascii="Times" w:hAnsi="Times" w:hint="eastAsia"/>
          <w:sz w:val="24"/>
        </w:rPr>
        <w:t>5.2.10</w:t>
      </w:r>
      <w:r>
        <w:rPr>
          <w:rFonts w:ascii="Times" w:hAnsi="Times" w:hint="eastAsia"/>
          <w:sz w:val="24"/>
        </w:rPr>
        <w:t>中，未有明确评价方法和评分标准的民用飞机制造企业、危险废物处置企业、水的生产和供应企业、电力生产企业、物流仓储、油气站场等其他工业类风险源应按照</w:t>
      </w:r>
      <w:r>
        <w:rPr>
          <w:rFonts w:ascii="Times" w:hAnsi="Times" w:hint="eastAsia"/>
          <w:sz w:val="24"/>
        </w:rPr>
        <w:t>GB/T 42768</w:t>
      </w:r>
      <w:r>
        <w:rPr>
          <w:rFonts w:ascii="Times" w:hAnsi="Times" w:hint="eastAsia"/>
          <w:sz w:val="24"/>
        </w:rPr>
        <w:t>进行分级。</w:t>
      </w:r>
    </w:p>
    <w:p w:rsidR="00F72F8A" w:rsidRDefault="000A4FA3">
      <w:pPr>
        <w:spacing w:line="360" w:lineRule="auto"/>
        <w:ind w:firstLineChars="200" w:firstLine="480"/>
        <w:rPr>
          <w:rFonts w:ascii="Times" w:hAnsi="Times" w:hint="eastAsia"/>
          <w:sz w:val="24"/>
        </w:rPr>
      </w:pPr>
      <w:r>
        <w:rPr>
          <w:rFonts w:ascii="Times" w:hAnsi="Times" w:hint="eastAsia"/>
          <w:sz w:val="24"/>
        </w:rPr>
        <w:t>5.2.11</w:t>
      </w:r>
      <w:r>
        <w:rPr>
          <w:rFonts w:ascii="Times" w:hAnsi="Times" w:hint="eastAsia"/>
          <w:sz w:val="24"/>
        </w:rPr>
        <w:t>参考《江苏省工贸行业企业安全生产分类分级监管执法实施办法（试行）》提出了工业类风险源提级的情况。</w:t>
      </w:r>
    </w:p>
    <w:p w:rsidR="00F72F8A" w:rsidRDefault="000A4FA3">
      <w:pPr>
        <w:spacing w:line="360" w:lineRule="auto"/>
        <w:ind w:firstLineChars="200" w:firstLine="480"/>
        <w:rPr>
          <w:rFonts w:ascii="Times" w:hAnsi="Times" w:hint="eastAsia"/>
          <w:sz w:val="24"/>
        </w:rPr>
      </w:pPr>
      <w:r>
        <w:rPr>
          <w:rFonts w:ascii="Times" w:hAnsi="Times" w:hint="eastAsia"/>
          <w:sz w:val="24"/>
        </w:rPr>
        <w:t>5.1.12</w:t>
      </w:r>
      <w:r>
        <w:rPr>
          <w:rFonts w:ascii="Times" w:hAnsi="Times" w:hint="eastAsia"/>
          <w:sz w:val="24"/>
        </w:rPr>
        <w:t>参考《江苏省工贸行业企业安全生产分类分级监管执法实施办法（试行）》提出了工业类风险源直接判定重大风险的情形。</w:t>
      </w:r>
    </w:p>
    <w:p w:rsidR="00F72F8A" w:rsidRDefault="000A4FA3">
      <w:pPr>
        <w:spacing w:line="360" w:lineRule="auto"/>
        <w:ind w:firstLineChars="200" w:firstLine="482"/>
        <w:rPr>
          <w:rFonts w:ascii="Times" w:hAnsi="Times" w:hint="eastAsia"/>
          <w:b/>
          <w:bCs/>
          <w:sz w:val="24"/>
        </w:rPr>
      </w:pPr>
      <w:r>
        <w:rPr>
          <w:rFonts w:ascii="Times" w:hAnsi="Times" w:hint="eastAsia"/>
          <w:b/>
          <w:bCs/>
          <w:sz w:val="24"/>
        </w:rPr>
        <w:t>5.3</w:t>
      </w:r>
      <w:r>
        <w:rPr>
          <w:rFonts w:ascii="Times" w:hAnsi="Times" w:hint="eastAsia"/>
          <w:b/>
          <w:bCs/>
          <w:sz w:val="24"/>
        </w:rPr>
        <w:t>人员密集场所类风险源</w:t>
      </w:r>
    </w:p>
    <w:p w:rsidR="00F72F8A" w:rsidRDefault="000A4FA3">
      <w:pPr>
        <w:spacing w:line="360" w:lineRule="auto"/>
        <w:ind w:firstLineChars="200" w:firstLine="480"/>
        <w:rPr>
          <w:rFonts w:ascii="Times" w:hAnsi="Times" w:hint="eastAsia"/>
          <w:sz w:val="24"/>
        </w:rPr>
      </w:pPr>
      <w:r>
        <w:rPr>
          <w:rFonts w:ascii="Times" w:hAnsi="Times" w:hint="eastAsia"/>
          <w:sz w:val="24"/>
        </w:rPr>
        <w:t>5.3.1</w:t>
      </w:r>
      <w:r>
        <w:rPr>
          <w:rFonts w:ascii="Times" w:hAnsi="Times" w:hint="eastAsia"/>
          <w:sz w:val="24"/>
        </w:rPr>
        <w:t>根据</w:t>
      </w:r>
      <w:r>
        <w:rPr>
          <w:rFonts w:ascii="Times" w:hAnsi="Times" w:hint="eastAsia"/>
          <w:sz w:val="24"/>
        </w:rPr>
        <w:t>XF/T 1369</w:t>
      </w:r>
      <w:r>
        <w:rPr>
          <w:rFonts w:ascii="Times" w:hAnsi="Times" w:hint="eastAsia"/>
          <w:sz w:val="24"/>
        </w:rPr>
        <w:t>评估判定人员密集场所的直接判定项（</w:t>
      </w:r>
      <w:r>
        <w:rPr>
          <w:rFonts w:ascii="Times" w:hAnsi="Times" w:hint="eastAsia"/>
          <w:sz w:val="24"/>
        </w:rPr>
        <w:t>A</w:t>
      </w:r>
      <w:r>
        <w:rPr>
          <w:rFonts w:ascii="Times" w:hAnsi="Times" w:hint="eastAsia"/>
          <w:sz w:val="24"/>
        </w:rPr>
        <w:t>项）和消防安全管理单元、建筑防火单元、安全疏散设施单元、消防设施单元等评估单元的单元合格率，在此基础上确定风险分级标准。</w:t>
      </w:r>
    </w:p>
    <w:p w:rsidR="00F72F8A" w:rsidRDefault="000A4FA3">
      <w:pPr>
        <w:spacing w:line="360" w:lineRule="auto"/>
        <w:ind w:firstLineChars="200" w:firstLine="480"/>
        <w:rPr>
          <w:rFonts w:ascii="Times" w:hAnsi="Times" w:hint="eastAsia"/>
          <w:sz w:val="24"/>
        </w:rPr>
      </w:pPr>
      <w:r>
        <w:rPr>
          <w:rFonts w:ascii="Times" w:hAnsi="Times" w:hint="eastAsia"/>
          <w:sz w:val="24"/>
        </w:rPr>
        <w:t>5.3.2</w:t>
      </w:r>
      <w:r>
        <w:rPr>
          <w:rFonts w:ascii="Times" w:hAnsi="Times" w:hint="eastAsia"/>
          <w:sz w:val="24"/>
        </w:rPr>
        <w:t>给出了直接判定为重大风险的情形。</w:t>
      </w:r>
    </w:p>
    <w:p w:rsidR="00F72F8A" w:rsidRDefault="000A4FA3">
      <w:pPr>
        <w:spacing w:line="360" w:lineRule="auto"/>
        <w:ind w:firstLineChars="200" w:firstLine="482"/>
        <w:rPr>
          <w:rFonts w:ascii="Times" w:hAnsi="Times" w:hint="eastAsia"/>
          <w:b/>
          <w:bCs/>
          <w:sz w:val="24"/>
        </w:rPr>
      </w:pPr>
      <w:r>
        <w:rPr>
          <w:rFonts w:ascii="Times" w:hAnsi="Times" w:hint="eastAsia"/>
          <w:b/>
          <w:bCs/>
          <w:sz w:val="24"/>
        </w:rPr>
        <w:lastRenderedPageBreak/>
        <w:t>5.4</w:t>
      </w:r>
      <w:r>
        <w:rPr>
          <w:rFonts w:ascii="Times" w:hAnsi="Times" w:hint="eastAsia"/>
          <w:b/>
          <w:bCs/>
          <w:sz w:val="24"/>
        </w:rPr>
        <w:t>公共设施类风险源</w:t>
      </w:r>
    </w:p>
    <w:p w:rsidR="00F72F8A" w:rsidRDefault="000A4FA3">
      <w:pPr>
        <w:spacing w:line="360" w:lineRule="auto"/>
        <w:ind w:firstLineChars="200" w:firstLine="480"/>
        <w:rPr>
          <w:rFonts w:ascii="Times" w:hAnsi="Times" w:hint="eastAsia"/>
          <w:sz w:val="24"/>
        </w:rPr>
      </w:pPr>
      <w:r>
        <w:rPr>
          <w:rFonts w:ascii="Times" w:hAnsi="Times" w:hint="eastAsia"/>
          <w:sz w:val="24"/>
        </w:rPr>
        <w:t>5.4.1</w:t>
      </w:r>
      <w:r>
        <w:rPr>
          <w:rFonts w:ascii="Times" w:hAnsi="Times" w:hint="eastAsia"/>
          <w:sz w:val="24"/>
        </w:rPr>
        <w:t>城市桥梁风险源根据《江苏省城市桥梁安全风险评估指南（试行）》进行评定分级。</w:t>
      </w:r>
    </w:p>
    <w:p w:rsidR="00F72F8A" w:rsidRDefault="000A4FA3">
      <w:pPr>
        <w:spacing w:line="360" w:lineRule="auto"/>
        <w:ind w:firstLineChars="200" w:firstLine="480"/>
        <w:rPr>
          <w:rFonts w:ascii="Times" w:hAnsi="Times" w:hint="eastAsia"/>
          <w:sz w:val="24"/>
        </w:rPr>
      </w:pPr>
      <w:r>
        <w:rPr>
          <w:rFonts w:ascii="Times" w:hAnsi="Times" w:hint="eastAsia"/>
          <w:sz w:val="24"/>
        </w:rPr>
        <w:t>5.4.2</w:t>
      </w:r>
      <w:r>
        <w:rPr>
          <w:rFonts w:ascii="Times" w:hAnsi="Times" w:hint="eastAsia"/>
          <w:sz w:val="24"/>
        </w:rPr>
        <w:t>城市隧道风险源参考</w:t>
      </w:r>
      <w:r>
        <w:rPr>
          <w:rFonts w:ascii="Times" w:hAnsi="Times" w:hint="eastAsia"/>
          <w:sz w:val="24"/>
        </w:rPr>
        <w:t>GB/T 43991</w:t>
      </w:r>
      <w:r>
        <w:rPr>
          <w:rFonts w:ascii="Times" w:hAnsi="Times" w:hint="eastAsia"/>
          <w:sz w:val="24"/>
        </w:rPr>
        <w:t>，根据土建结构特征、隧道技术状况等级、接线特征、交通流量特征、地震地质情况、气象条件和机电设备等</w:t>
      </w:r>
      <w:r>
        <w:rPr>
          <w:rFonts w:ascii="Times" w:hAnsi="Times" w:hint="eastAsia"/>
          <w:sz w:val="24"/>
        </w:rPr>
        <w:t>7</w:t>
      </w:r>
      <w:r>
        <w:rPr>
          <w:rFonts w:ascii="Times" w:hAnsi="Times" w:hint="eastAsia"/>
          <w:sz w:val="24"/>
        </w:rPr>
        <w:t>个一级项进行评分，并给出分级标准。</w:t>
      </w:r>
    </w:p>
    <w:p w:rsidR="00F72F8A" w:rsidRDefault="000A4FA3">
      <w:pPr>
        <w:spacing w:line="360" w:lineRule="auto"/>
        <w:ind w:firstLineChars="200" w:firstLine="480"/>
        <w:rPr>
          <w:rFonts w:ascii="Times" w:hAnsi="Times" w:hint="eastAsia"/>
          <w:sz w:val="24"/>
        </w:rPr>
      </w:pPr>
      <w:r>
        <w:rPr>
          <w:rFonts w:ascii="Times" w:hAnsi="Times" w:hint="eastAsia"/>
          <w:sz w:val="24"/>
        </w:rPr>
        <w:t>5.4.3</w:t>
      </w:r>
      <w:r>
        <w:rPr>
          <w:rFonts w:ascii="Times" w:hAnsi="Times" w:hint="eastAsia"/>
          <w:sz w:val="24"/>
        </w:rPr>
        <w:t>防洪及治涝工程根据</w:t>
      </w:r>
      <w:r>
        <w:rPr>
          <w:rFonts w:ascii="Times" w:hAnsi="Times" w:hint="eastAsia"/>
          <w:sz w:val="24"/>
        </w:rPr>
        <w:t>SL 214</w:t>
      </w:r>
      <w:r>
        <w:rPr>
          <w:rFonts w:ascii="Times" w:hAnsi="Times" w:hint="eastAsia"/>
          <w:sz w:val="24"/>
        </w:rPr>
        <w:t>、</w:t>
      </w:r>
      <w:r>
        <w:rPr>
          <w:rFonts w:ascii="Times" w:hAnsi="Times" w:hint="eastAsia"/>
          <w:sz w:val="24"/>
        </w:rPr>
        <w:t>SL 252</w:t>
      </w:r>
      <w:r>
        <w:rPr>
          <w:rFonts w:ascii="Times" w:hAnsi="Times" w:hint="eastAsia"/>
          <w:sz w:val="24"/>
        </w:rPr>
        <w:t>、</w:t>
      </w:r>
      <w:r>
        <w:rPr>
          <w:rFonts w:ascii="Times" w:hAnsi="Times" w:hint="eastAsia"/>
          <w:sz w:val="24"/>
        </w:rPr>
        <w:t>SL 258</w:t>
      </w:r>
      <w:r>
        <w:rPr>
          <w:rFonts w:ascii="Times" w:hAnsi="Times" w:hint="eastAsia"/>
          <w:sz w:val="24"/>
        </w:rPr>
        <w:t>、</w:t>
      </w:r>
      <w:r>
        <w:rPr>
          <w:rFonts w:ascii="Times" w:hAnsi="Times" w:hint="eastAsia"/>
          <w:sz w:val="24"/>
        </w:rPr>
        <w:t>SL 316</w:t>
      </w:r>
      <w:r>
        <w:rPr>
          <w:rFonts w:ascii="Times" w:hAnsi="Times" w:hint="eastAsia"/>
          <w:sz w:val="24"/>
        </w:rPr>
        <w:t>、</w:t>
      </w:r>
      <w:r>
        <w:rPr>
          <w:rFonts w:ascii="Times" w:hAnsi="Times" w:hint="eastAsia"/>
          <w:sz w:val="24"/>
        </w:rPr>
        <w:t>SL/Z 679</w:t>
      </w:r>
      <w:r>
        <w:rPr>
          <w:rFonts w:ascii="Times" w:hAnsi="Times" w:hint="eastAsia"/>
          <w:sz w:val="24"/>
        </w:rPr>
        <w:t>、</w:t>
      </w:r>
      <w:r>
        <w:rPr>
          <w:rFonts w:ascii="Times" w:hAnsi="Times" w:hint="eastAsia"/>
          <w:sz w:val="24"/>
        </w:rPr>
        <w:t>SL/T 790</w:t>
      </w:r>
      <w:r>
        <w:rPr>
          <w:rFonts w:ascii="Times" w:hAnsi="Times" w:hint="eastAsia"/>
          <w:sz w:val="24"/>
        </w:rPr>
        <w:t>给出了水库大坝、水闸、堤防、泵站、水工隧洞等防洪及治涝工程风险源评估方法和评分标准。</w:t>
      </w:r>
    </w:p>
    <w:p w:rsidR="00F72F8A" w:rsidRDefault="000A4FA3">
      <w:pPr>
        <w:spacing w:line="360" w:lineRule="auto"/>
        <w:ind w:firstLineChars="200" w:firstLine="480"/>
        <w:rPr>
          <w:rFonts w:ascii="Times" w:hAnsi="Times" w:hint="eastAsia"/>
          <w:sz w:val="24"/>
        </w:rPr>
      </w:pPr>
      <w:r>
        <w:rPr>
          <w:rFonts w:ascii="Times" w:hAnsi="Times" w:hint="eastAsia"/>
          <w:sz w:val="24"/>
        </w:rPr>
        <w:t>5.4.4</w:t>
      </w:r>
      <w:r>
        <w:rPr>
          <w:rFonts w:ascii="Times" w:hAnsi="Times" w:hint="eastAsia"/>
          <w:sz w:val="24"/>
        </w:rPr>
        <w:t>供水管道风险源分级应按照《江苏省城镇供水管道安全风险评估指南（试行）》进行评定。</w:t>
      </w:r>
    </w:p>
    <w:p w:rsidR="00F72F8A" w:rsidRDefault="000A4FA3">
      <w:pPr>
        <w:spacing w:line="360" w:lineRule="auto"/>
        <w:ind w:firstLineChars="200" w:firstLine="480"/>
        <w:rPr>
          <w:rFonts w:ascii="Times" w:hAnsi="Times" w:hint="eastAsia"/>
          <w:sz w:val="24"/>
        </w:rPr>
      </w:pPr>
      <w:r>
        <w:rPr>
          <w:rFonts w:ascii="Times" w:hAnsi="Times" w:hint="eastAsia"/>
          <w:sz w:val="24"/>
        </w:rPr>
        <w:t>5.4.5</w:t>
      </w:r>
      <w:r>
        <w:rPr>
          <w:rFonts w:ascii="Times" w:hAnsi="Times"/>
          <w:sz w:val="24"/>
        </w:rPr>
        <w:t>燃气</w:t>
      </w:r>
      <w:r>
        <w:rPr>
          <w:rFonts w:ascii="Times" w:hAnsi="Times" w:hint="eastAsia"/>
          <w:sz w:val="24"/>
        </w:rPr>
        <w:t>管道</w:t>
      </w:r>
      <w:r>
        <w:rPr>
          <w:rFonts w:ascii="Times" w:hAnsi="Times"/>
          <w:sz w:val="24"/>
        </w:rPr>
        <w:t>风险源分级应按照《江苏省城镇燃气管道安全风险评估指南</w:t>
      </w:r>
      <w:r>
        <w:rPr>
          <w:rFonts w:ascii="Times" w:hAnsi="Times" w:hint="eastAsia"/>
          <w:sz w:val="24"/>
        </w:rPr>
        <w:t>（试行）</w:t>
      </w:r>
      <w:r>
        <w:rPr>
          <w:rFonts w:ascii="Times" w:hAnsi="Times"/>
          <w:sz w:val="24"/>
        </w:rPr>
        <w:t>》进行评定。</w:t>
      </w:r>
    </w:p>
    <w:p w:rsidR="00F72F8A" w:rsidRDefault="000A4FA3">
      <w:pPr>
        <w:spacing w:line="360" w:lineRule="auto"/>
        <w:ind w:firstLineChars="200" w:firstLine="480"/>
        <w:rPr>
          <w:rFonts w:ascii="Times" w:hAnsi="Times" w:hint="eastAsia"/>
          <w:sz w:val="24"/>
        </w:rPr>
      </w:pPr>
      <w:r>
        <w:rPr>
          <w:rFonts w:ascii="Times" w:hAnsi="Times" w:hint="eastAsia"/>
          <w:sz w:val="24"/>
        </w:rPr>
        <w:t>5.4.6</w:t>
      </w:r>
      <w:r>
        <w:rPr>
          <w:rFonts w:ascii="Times" w:hAnsi="Times" w:hint="eastAsia"/>
          <w:sz w:val="24"/>
        </w:rPr>
        <w:t>供热管网、地下综合管廊等其他公共设施类风险源分级应按照</w:t>
      </w:r>
      <w:r>
        <w:rPr>
          <w:rFonts w:ascii="Times" w:hAnsi="Times" w:hint="eastAsia"/>
          <w:sz w:val="24"/>
        </w:rPr>
        <w:t>GB/T 42768</w:t>
      </w:r>
      <w:r>
        <w:rPr>
          <w:rFonts w:ascii="Times" w:hAnsi="Times" w:hint="eastAsia"/>
          <w:sz w:val="24"/>
        </w:rPr>
        <w:t>进行评定。</w:t>
      </w:r>
    </w:p>
    <w:p w:rsidR="00F72F8A" w:rsidRDefault="000A4FA3">
      <w:pPr>
        <w:spacing w:line="360" w:lineRule="auto"/>
        <w:ind w:firstLineChars="200" w:firstLine="482"/>
        <w:rPr>
          <w:rFonts w:ascii="Times" w:hAnsi="Times" w:hint="eastAsia"/>
          <w:b/>
          <w:bCs/>
          <w:sz w:val="24"/>
        </w:rPr>
      </w:pPr>
      <w:r>
        <w:rPr>
          <w:rFonts w:ascii="Times" w:hAnsi="Times" w:hint="eastAsia"/>
          <w:b/>
          <w:bCs/>
          <w:sz w:val="24"/>
        </w:rPr>
        <w:t>5.5</w:t>
      </w:r>
      <w:r>
        <w:rPr>
          <w:rFonts w:ascii="Times" w:hAnsi="Times" w:hint="eastAsia"/>
          <w:b/>
          <w:bCs/>
          <w:sz w:val="24"/>
        </w:rPr>
        <w:t>自然灾害类风险源</w:t>
      </w:r>
    </w:p>
    <w:p w:rsidR="00F72F8A" w:rsidRDefault="000A4FA3">
      <w:pPr>
        <w:spacing w:line="360" w:lineRule="auto"/>
        <w:ind w:firstLineChars="200" w:firstLine="480"/>
        <w:rPr>
          <w:rFonts w:ascii="Times" w:hAnsi="Times" w:hint="eastAsia"/>
          <w:sz w:val="24"/>
        </w:rPr>
      </w:pPr>
      <w:r>
        <w:rPr>
          <w:rFonts w:ascii="Times" w:hAnsi="Times"/>
          <w:sz w:val="24"/>
        </w:rPr>
        <w:t>自然灾害类风险源分级应按照《第一次全国自然灾害综合风险普查技术规范》进行评定。</w:t>
      </w:r>
    </w:p>
    <w:p w:rsidR="00F72F8A" w:rsidRDefault="000A4FA3">
      <w:pPr>
        <w:spacing w:line="360" w:lineRule="auto"/>
        <w:ind w:firstLineChars="200" w:firstLine="482"/>
        <w:rPr>
          <w:rFonts w:ascii="Times" w:hAnsi="Times" w:hint="eastAsia"/>
          <w:b/>
          <w:bCs/>
          <w:sz w:val="24"/>
        </w:rPr>
      </w:pPr>
      <w:r>
        <w:rPr>
          <w:rFonts w:ascii="Times" w:hAnsi="Times" w:hint="eastAsia"/>
          <w:b/>
          <w:bCs/>
          <w:sz w:val="24"/>
        </w:rPr>
        <w:t>5.6</w:t>
      </w:r>
      <w:r>
        <w:rPr>
          <w:rFonts w:ascii="Times" w:hAnsi="Times" w:hint="eastAsia"/>
          <w:b/>
          <w:bCs/>
          <w:sz w:val="24"/>
        </w:rPr>
        <w:t>其他类风险源</w:t>
      </w:r>
    </w:p>
    <w:p w:rsidR="00F72F8A" w:rsidRDefault="000A4FA3">
      <w:pPr>
        <w:spacing w:line="360" w:lineRule="auto"/>
        <w:ind w:firstLineChars="200" w:firstLine="480"/>
        <w:rPr>
          <w:rFonts w:ascii="Times" w:hAnsi="Times" w:hint="eastAsia"/>
          <w:sz w:val="24"/>
        </w:rPr>
      </w:pPr>
      <w:r>
        <w:rPr>
          <w:rFonts w:ascii="Times" w:hAnsi="Times"/>
          <w:sz w:val="24"/>
        </w:rPr>
        <w:t>其他类风险源分级应按照</w:t>
      </w:r>
      <w:r>
        <w:rPr>
          <w:rFonts w:ascii="Times" w:hAnsi="Times"/>
          <w:sz w:val="24"/>
        </w:rPr>
        <w:t>GB/T 42768</w:t>
      </w:r>
      <w:r>
        <w:rPr>
          <w:rFonts w:ascii="Times" w:hAnsi="Times"/>
          <w:sz w:val="24"/>
        </w:rPr>
        <w:t>进行评定。</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hint="eastAsia"/>
          <w:b/>
          <w:sz w:val="28"/>
          <w:szCs w:val="28"/>
        </w:rPr>
        <w:t>与相关法律法规和标准的关系</w:t>
      </w:r>
    </w:p>
    <w:p w:rsidR="00F72F8A" w:rsidRDefault="000A4FA3">
      <w:pPr>
        <w:spacing w:line="360" w:lineRule="auto"/>
        <w:ind w:firstLineChars="200" w:firstLine="480"/>
        <w:rPr>
          <w:rFonts w:ascii="Times" w:hAnsi="Times" w:hint="eastAsia"/>
          <w:sz w:val="24"/>
        </w:rPr>
      </w:pPr>
      <w:r>
        <w:rPr>
          <w:rFonts w:ascii="Times" w:hAnsi="Times" w:hint="eastAsia"/>
          <w:sz w:val="24"/>
        </w:rPr>
        <w:t>本标准遵守现行法律法规，并和强制性标准相协调一致。</w:t>
      </w:r>
    </w:p>
    <w:p w:rsidR="00F72F8A" w:rsidRDefault="000A4FA3">
      <w:pPr>
        <w:spacing w:line="360" w:lineRule="auto"/>
        <w:ind w:firstLineChars="200" w:firstLine="480"/>
        <w:rPr>
          <w:rFonts w:ascii="Times" w:hAnsi="Times" w:hint="eastAsia"/>
          <w:sz w:val="24"/>
        </w:rPr>
      </w:pPr>
      <w:r>
        <w:rPr>
          <w:rFonts w:ascii="Times" w:hAnsi="Times" w:hint="eastAsia"/>
          <w:sz w:val="24"/>
        </w:rPr>
        <w:t>本标准制定中未采用国际标准，文中规范性引用的国家标准、行业标准均为城市安全风险源分类分级提供了相关依据。</w:t>
      </w:r>
    </w:p>
    <w:p w:rsidR="00F72F8A" w:rsidRDefault="000A4FA3">
      <w:pPr>
        <w:spacing w:line="360" w:lineRule="auto"/>
        <w:ind w:firstLineChars="200" w:firstLine="480"/>
        <w:rPr>
          <w:rFonts w:ascii="Times" w:hAnsi="Times" w:hint="eastAsia"/>
          <w:sz w:val="24"/>
        </w:rPr>
      </w:pPr>
      <w:r>
        <w:rPr>
          <w:rFonts w:ascii="Times" w:hAnsi="Times" w:hint="eastAsia"/>
          <w:sz w:val="24"/>
        </w:rPr>
        <w:t>江苏省地方标准《城市安全风险评估导则》（</w:t>
      </w:r>
      <w:r>
        <w:rPr>
          <w:rFonts w:ascii="Times" w:hAnsi="Times" w:hint="eastAsia"/>
          <w:sz w:val="24"/>
        </w:rPr>
        <w:t>DB 32/T 4145</w:t>
      </w:r>
      <w:r>
        <w:rPr>
          <w:rFonts w:ascii="Times" w:hAnsi="Times" w:hint="eastAsia"/>
          <w:sz w:val="24"/>
        </w:rPr>
        <w:t>—</w:t>
      </w:r>
      <w:r>
        <w:rPr>
          <w:rFonts w:ascii="Times" w:hAnsi="Times" w:hint="eastAsia"/>
          <w:sz w:val="24"/>
        </w:rPr>
        <w:t>2021</w:t>
      </w:r>
      <w:r>
        <w:rPr>
          <w:rFonts w:ascii="Times" w:hAnsi="Times" w:hint="eastAsia"/>
          <w:sz w:val="24"/>
        </w:rPr>
        <w:t>）规定了城市安全风险评估程序和要求，提出要开展风险辨识，但未给出城市安全相关风险源的清单和辨识评估方法。本标准是《城市安全风险评估导则》（</w:t>
      </w:r>
      <w:r>
        <w:rPr>
          <w:rFonts w:ascii="Times" w:hAnsi="Times" w:hint="eastAsia"/>
          <w:sz w:val="24"/>
        </w:rPr>
        <w:t>DB 32/T 4145</w:t>
      </w:r>
      <w:r>
        <w:rPr>
          <w:rFonts w:ascii="Times" w:hAnsi="Times" w:hint="eastAsia"/>
          <w:sz w:val="24"/>
        </w:rPr>
        <w:t>—</w:t>
      </w:r>
      <w:r>
        <w:rPr>
          <w:rFonts w:ascii="Times" w:hAnsi="Times" w:hint="eastAsia"/>
          <w:sz w:val="24"/>
        </w:rPr>
        <w:t>2021</w:t>
      </w:r>
      <w:r>
        <w:rPr>
          <w:rFonts w:ascii="Times" w:hAnsi="Times" w:hint="eastAsia"/>
          <w:sz w:val="24"/>
        </w:rPr>
        <w:t>）的支撑标准，为城市安全风险评估工作提供了城市安全风险源的清单，并给出了分类分级的方法。</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hint="eastAsia"/>
          <w:b/>
          <w:sz w:val="28"/>
          <w:szCs w:val="28"/>
        </w:rPr>
        <w:t>重大分歧意见的处理过程和依据</w:t>
      </w:r>
    </w:p>
    <w:p w:rsidR="00F72F8A" w:rsidRDefault="000A4FA3">
      <w:pPr>
        <w:spacing w:line="360" w:lineRule="auto"/>
        <w:ind w:firstLineChars="200" w:firstLine="480"/>
        <w:jc w:val="left"/>
        <w:outlineLvl w:val="0"/>
        <w:rPr>
          <w:rFonts w:ascii="Times" w:hAnsi="Times" w:hint="eastAsia"/>
          <w:sz w:val="24"/>
          <w:shd w:val="clear" w:color="auto" w:fill="FFFFFF"/>
        </w:rPr>
      </w:pPr>
      <w:r>
        <w:rPr>
          <w:rFonts w:ascii="Times" w:hAnsi="Times" w:hint="eastAsia"/>
          <w:sz w:val="24"/>
          <w:shd w:val="clear" w:color="auto" w:fill="FFFFFF"/>
        </w:rPr>
        <w:t>无。</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hint="eastAsia"/>
          <w:b/>
          <w:sz w:val="28"/>
          <w:szCs w:val="28"/>
        </w:rPr>
        <w:t>推广实施建议</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t>为了保证标准的贯彻执行，具体要求如下：</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lastRenderedPageBreak/>
        <w:t>1</w:t>
      </w:r>
      <w:r>
        <w:rPr>
          <w:rFonts w:ascii="Times" w:hAnsi="Times" w:hint="eastAsia"/>
          <w:sz w:val="24"/>
          <w:shd w:val="clear" w:color="auto" w:fill="FFFFFF"/>
        </w:rPr>
        <w:t>、宣传培训</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t>标准实施过程中加强标准的宣贯指导工作，制定标准宣传培训计划，组织标准宣贯培训工作。本标准发布后，可通过以下两种方式进行宣贯：</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t>（</w:t>
      </w:r>
      <w:r>
        <w:rPr>
          <w:rFonts w:ascii="Times" w:hAnsi="Times" w:hint="eastAsia"/>
          <w:sz w:val="24"/>
          <w:shd w:val="clear" w:color="auto" w:fill="FFFFFF"/>
        </w:rPr>
        <w:t>1</w:t>
      </w:r>
      <w:r>
        <w:rPr>
          <w:rFonts w:ascii="Times" w:hAnsi="Times" w:hint="eastAsia"/>
          <w:sz w:val="24"/>
          <w:shd w:val="clear" w:color="auto" w:fill="FFFFFF"/>
        </w:rPr>
        <w:t>）召开专题培训会，进行城市安全风险源分类分级专题讲座。宣贯模式：拟在苏南、苏中、苏北选择合适的</w:t>
      </w:r>
      <w:r>
        <w:rPr>
          <w:rFonts w:ascii="Times" w:hAnsi="Times" w:hint="eastAsia"/>
          <w:sz w:val="24"/>
          <w:shd w:val="clear" w:color="auto" w:fill="FFFFFF"/>
        </w:rPr>
        <w:t>10</w:t>
      </w:r>
      <w:r>
        <w:rPr>
          <w:rFonts w:ascii="Times" w:hAnsi="Times" w:hint="eastAsia"/>
          <w:sz w:val="24"/>
          <w:shd w:val="clear" w:color="auto" w:fill="FFFFFF"/>
        </w:rPr>
        <w:t>个城市地区开展标准应用，然后组织区域现场宣贯会，对标准条款和应用进行全方位解读。</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t>（</w:t>
      </w:r>
      <w:r>
        <w:rPr>
          <w:rFonts w:ascii="Times" w:hAnsi="Times" w:hint="eastAsia"/>
          <w:sz w:val="24"/>
          <w:shd w:val="clear" w:color="auto" w:fill="FFFFFF"/>
        </w:rPr>
        <w:t>2</w:t>
      </w:r>
      <w:r>
        <w:rPr>
          <w:rFonts w:ascii="Times" w:hAnsi="Times" w:hint="eastAsia"/>
          <w:sz w:val="24"/>
          <w:shd w:val="clear" w:color="auto" w:fill="FFFFFF"/>
        </w:rPr>
        <w:t>）全省城市安全工作推进会议，提升城市安全风险源分类、分级的科学性和准确性。宣贯模式：调研</w:t>
      </w:r>
      <w:r>
        <w:rPr>
          <w:rFonts w:ascii="Times" w:hAnsi="Times" w:hint="eastAsia"/>
          <w:sz w:val="24"/>
          <w:shd w:val="clear" w:color="auto" w:fill="FFFFFF"/>
        </w:rPr>
        <w:t>15</w:t>
      </w:r>
      <w:r>
        <w:rPr>
          <w:rFonts w:ascii="Times" w:hAnsi="Times" w:hint="eastAsia"/>
          <w:sz w:val="24"/>
          <w:shd w:val="clear" w:color="auto" w:fill="FFFFFF"/>
        </w:rPr>
        <w:t>个城市地区安全风险评估报告，分析研究标准执行情况，汇总后召开分析说明会。</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t>2</w:t>
      </w:r>
      <w:r>
        <w:rPr>
          <w:rFonts w:ascii="Times" w:hAnsi="Times" w:hint="eastAsia"/>
          <w:sz w:val="24"/>
          <w:shd w:val="clear" w:color="auto" w:fill="FFFFFF"/>
        </w:rPr>
        <w:t>、动态</w:t>
      </w:r>
      <w:r>
        <w:rPr>
          <w:rFonts w:ascii="Times" w:hAnsi="Times" w:cs="宋体" w:hint="eastAsia"/>
          <w:sz w:val="24"/>
        </w:rPr>
        <w:t>评估</w:t>
      </w:r>
    </w:p>
    <w:p w:rsidR="00F72F8A" w:rsidRDefault="000A4FA3">
      <w:pPr>
        <w:spacing w:line="360" w:lineRule="auto"/>
        <w:ind w:firstLineChars="200" w:firstLine="480"/>
        <w:rPr>
          <w:rFonts w:ascii="Times" w:hAnsi="Times" w:hint="eastAsia"/>
          <w:sz w:val="24"/>
          <w:shd w:val="clear" w:color="auto" w:fill="FFFFFF"/>
        </w:rPr>
      </w:pPr>
      <w:r>
        <w:rPr>
          <w:rFonts w:ascii="Times" w:hAnsi="Times" w:hint="eastAsia"/>
          <w:sz w:val="24"/>
          <w:shd w:val="clear" w:color="auto" w:fill="FFFFFF"/>
        </w:rPr>
        <w:t>及时收集整理各地在《规范》使用过程中出现的问题，对《规范》的实施效果进行动态评估。</w:t>
      </w:r>
    </w:p>
    <w:p w:rsidR="00F72F8A" w:rsidRDefault="000A4FA3">
      <w:pPr>
        <w:numPr>
          <w:ilvl w:val="0"/>
          <w:numId w:val="4"/>
        </w:numPr>
        <w:spacing w:line="360" w:lineRule="auto"/>
        <w:ind w:left="0" w:firstLine="0"/>
        <w:jc w:val="left"/>
        <w:outlineLvl w:val="0"/>
        <w:rPr>
          <w:rFonts w:ascii="Times" w:hAnsi="Times" w:hint="eastAsia"/>
          <w:b/>
          <w:sz w:val="28"/>
          <w:szCs w:val="28"/>
        </w:rPr>
      </w:pPr>
      <w:r>
        <w:rPr>
          <w:rFonts w:ascii="Times" w:hAnsi="Times"/>
          <w:b/>
          <w:sz w:val="28"/>
          <w:szCs w:val="28"/>
        </w:rPr>
        <w:t>起草单位和起草人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77"/>
        <w:gridCol w:w="846"/>
        <w:gridCol w:w="1524"/>
        <w:gridCol w:w="4015"/>
      </w:tblGrid>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起草单位</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起草人</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职称/职务</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分工</w:t>
            </w:r>
          </w:p>
        </w:tc>
      </w:tr>
      <w:tr w:rsidR="00F72F8A">
        <w:trPr>
          <w:trHeight w:val="20"/>
        </w:trPr>
        <w:tc>
          <w:tcPr>
            <w:tcW w:w="1794" w:type="pct"/>
            <w:vMerge w:val="restart"/>
            <w:shd w:val="clear" w:color="auto" w:fill="auto"/>
            <w:noWrap/>
            <w:vAlign w:val="center"/>
          </w:tcPr>
          <w:p w:rsidR="00F72F8A" w:rsidRDefault="000A4FA3">
            <w:pPr>
              <w:jc w:val="center"/>
              <w:rPr>
                <w:rFonts w:ascii="宋体" w:hAnsi="宋体" w:cs="宋体"/>
                <w:color w:val="000000"/>
                <w:kern w:val="0"/>
                <w:szCs w:val="21"/>
              </w:rPr>
            </w:pPr>
            <w:r>
              <w:rPr>
                <w:rFonts w:ascii="宋体" w:hAnsi="宋体" w:cs="宋体" w:hint="eastAsia"/>
                <w:color w:val="000000"/>
                <w:kern w:val="0"/>
                <w:szCs w:val="21"/>
              </w:rPr>
              <w:t>江苏省安全生产科学研究院</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周汝</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教授/院长</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顶层设计、组织协调</w:t>
            </w:r>
          </w:p>
        </w:tc>
      </w:tr>
      <w:tr w:rsidR="00F72F8A">
        <w:trPr>
          <w:trHeight w:val="20"/>
        </w:trPr>
        <w:tc>
          <w:tcPr>
            <w:tcW w:w="1794" w:type="pct"/>
            <w:vMerge/>
            <w:shd w:val="clear" w:color="auto" w:fill="auto"/>
            <w:noWrap/>
            <w:vAlign w:val="center"/>
          </w:tcPr>
          <w:p w:rsidR="00F72F8A" w:rsidRDefault="00F72F8A">
            <w:pPr>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朱桂明</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1范围</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3术语和定义</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高岳毅</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3术语和定义</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5.1分级规则</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5.2.11、5.2.12风险源提级和判定</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编制说明</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陈妍</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5.3人员密集场所类风险源分类分级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蒋俊</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5.2.2烟花爆竹企业风险源分级</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标准全文排版</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编制说明及征求意见汇总</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贺钢锋</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5.2.7船舶制造企业风险源分级</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5.2.9在建工程类风险源分级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张斌</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工程师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5.4.1、5.4.2公共设施类风险源分级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邢培育</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4风险源分类</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征求意见汇总</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高振宁</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工程师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4风险源分类</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征求意见汇总</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吕颖</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2规范性引用文件</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4风险源分类</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征求意见汇总</w:t>
            </w:r>
          </w:p>
        </w:tc>
      </w:tr>
      <w:tr w:rsidR="00F72F8A">
        <w:trPr>
          <w:trHeight w:val="20"/>
        </w:trPr>
        <w:tc>
          <w:tcPr>
            <w:tcW w:w="1794" w:type="pct"/>
            <w:vMerge w:val="restar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江苏省应急管理厅</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何海波</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副处长</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咨询指导</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万杰</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四级调研员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咨询指导</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lastRenderedPageBreak/>
              <w:t>南京工业大学</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张明广</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3术语和定义</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5.2.1化工医药企业</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常州大学</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邢志祥</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3术语和定义</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5.2.1化工医药企业</w:t>
            </w:r>
          </w:p>
        </w:tc>
      </w:tr>
      <w:tr w:rsidR="00F72F8A">
        <w:trPr>
          <w:trHeight w:val="20"/>
        </w:trPr>
        <w:tc>
          <w:tcPr>
            <w:tcW w:w="1794" w:type="pct"/>
            <w:vMerge w:val="restar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南京信息工程大学</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叶芬梅</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周旺平</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南京大学</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color w:val="000000"/>
                <w:kern w:val="0"/>
                <w:szCs w:val="21"/>
              </w:rPr>
              <w:t>顾凯</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5.2.6油气站场风险源分级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东南大学</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戴国亮</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5.4.4、5.4.5城市供水风险源和燃气管网风险源分级</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5.2.4、5.2.5煤矿和非煤矿山风险源分级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南京理工大学</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郭耸</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工业企业类风险源分类和分级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南京林业大学</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张文华</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江苏省消防救援总队</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冯婧钰</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5.3人员密集场所类风险源分类分级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南京市消防救援支队</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徐瑞蓉</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工程师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5.3人员密集场所类风险源分类分级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color w:val="000000"/>
                <w:kern w:val="0"/>
                <w:szCs w:val="21"/>
              </w:rPr>
              <w:t>南京市江宁区民政局</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张兵</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副局长</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5.3人员密集场所类风险源分类分级</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vMerge w:val="restar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南京水利科学研究院</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陈波</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5.4.3防洪及治涝工程风险源分级</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谢罗峰</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5.4.3防洪及治涝工程风险源分级</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江苏省震灾风险防治中心</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彭小波</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vMerge w:val="restar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江苏省地质调查研究院</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李后尧</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5.4.2城市隧道风险源分级评分标准</w:t>
            </w:r>
          </w:p>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陈刚</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5.5自然灾害类风险源分级</w:t>
            </w:r>
          </w:p>
        </w:tc>
      </w:tr>
      <w:tr w:rsidR="00F72F8A">
        <w:trPr>
          <w:trHeight w:val="20"/>
        </w:trPr>
        <w:tc>
          <w:tcPr>
            <w:tcW w:w="1794" w:type="pct"/>
            <w:vMerge w:val="restar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江苏中安科技服务有限公司</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color w:val="000000"/>
                <w:kern w:val="0"/>
                <w:szCs w:val="21"/>
              </w:rPr>
              <w:t>丁杰</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5.2.3冶金、有色、建材、机械、轻工、纺织、烟草企业风险源分级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color w:val="000000"/>
                <w:kern w:val="0"/>
                <w:szCs w:val="21"/>
              </w:rPr>
              <w:t>蔡琢</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5.2.3冶金、有色、建材、机械、轻工、纺织、烟草企业风险源分级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color w:val="000000"/>
                <w:kern w:val="0"/>
                <w:szCs w:val="21"/>
              </w:rPr>
              <w:t>邓曼</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5.2.3冶金、有色、建材、机械、轻工、纺织、烟草企业风险源分级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color w:val="000000"/>
                <w:kern w:val="0"/>
                <w:szCs w:val="21"/>
              </w:rPr>
              <w:t>曹金贵</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5.2.3冶金、有色、建材、机械、轻工、纺织、烟草企业风险源分级</w:t>
            </w:r>
          </w:p>
        </w:tc>
      </w:tr>
      <w:tr w:rsidR="00F72F8A">
        <w:trPr>
          <w:trHeight w:val="20"/>
        </w:trPr>
        <w:tc>
          <w:tcPr>
            <w:tcW w:w="1794" w:type="pct"/>
            <w:shd w:val="clear" w:color="auto" w:fill="auto"/>
            <w:noWrap/>
            <w:vAlign w:val="center"/>
          </w:tcPr>
          <w:p w:rsidR="00F72F8A" w:rsidRDefault="000A4FA3">
            <w:pPr>
              <w:jc w:val="center"/>
              <w:rPr>
                <w:rFonts w:ascii="宋体" w:hAnsi="宋体" w:cs="宋体"/>
                <w:color w:val="000000"/>
                <w:szCs w:val="21"/>
              </w:rPr>
            </w:pPr>
            <w:r>
              <w:rPr>
                <w:rFonts w:ascii="宋体" w:hAnsi="宋体" w:hint="eastAsia"/>
                <w:color w:val="000000"/>
                <w:szCs w:val="21"/>
              </w:rPr>
              <w:t>南京市测绘勘察研究院股份有限公司</w:t>
            </w:r>
          </w:p>
        </w:tc>
        <w:tc>
          <w:tcPr>
            <w:tcW w:w="424" w:type="pct"/>
            <w:shd w:val="clear" w:color="auto" w:fill="auto"/>
            <w:noWrap/>
            <w:vAlign w:val="center"/>
          </w:tcPr>
          <w:p w:rsidR="00F72F8A" w:rsidRDefault="000A4FA3">
            <w:pPr>
              <w:jc w:val="center"/>
              <w:rPr>
                <w:rFonts w:ascii="宋体" w:hAnsi="宋体" w:cs="宋体"/>
                <w:color w:val="000000"/>
                <w:szCs w:val="21"/>
              </w:rPr>
            </w:pPr>
            <w:r>
              <w:rPr>
                <w:rFonts w:ascii="宋体" w:hAnsi="宋体" w:hint="eastAsia"/>
                <w:color w:val="000000"/>
                <w:szCs w:val="21"/>
              </w:rPr>
              <w:t>金雪莲</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正高</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5.2.9在建工程类风险源分级</w:t>
            </w:r>
          </w:p>
        </w:tc>
      </w:tr>
      <w:tr w:rsidR="00F72F8A">
        <w:trPr>
          <w:trHeight w:val="20"/>
        </w:trPr>
        <w:tc>
          <w:tcPr>
            <w:tcW w:w="179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南京地铁建设有限责任公司</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张二强</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5.2.9在建工程类风险源分级</w:t>
            </w:r>
          </w:p>
        </w:tc>
      </w:tr>
      <w:tr w:rsidR="00F72F8A">
        <w:trPr>
          <w:trHeight w:val="20"/>
        </w:trPr>
        <w:tc>
          <w:tcPr>
            <w:tcW w:w="1794" w:type="pct"/>
            <w:vMerge w:val="restar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江苏省城市安全技术研究院</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李亚军</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5.4.4、5.4.5城市供水风险源和燃气管网风险源分级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柴攀攀</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高工</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5.4.4、5.4.5城市供水风险源和燃气管网风险源分级</w:t>
            </w:r>
          </w:p>
        </w:tc>
      </w:tr>
      <w:tr w:rsidR="00F72F8A">
        <w:trPr>
          <w:trHeight w:val="20"/>
        </w:trPr>
        <w:tc>
          <w:tcPr>
            <w:tcW w:w="1794" w:type="pct"/>
            <w:vMerge w:val="restar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江苏安全技术职业学院</w:t>
            </w: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王玉娥</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副教授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5.3人员密集场所类风险源分类分级</w:t>
            </w:r>
          </w:p>
        </w:tc>
      </w:tr>
      <w:tr w:rsidR="00F72F8A">
        <w:trPr>
          <w:trHeight w:val="20"/>
        </w:trPr>
        <w:tc>
          <w:tcPr>
            <w:tcW w:w="1794" w:type="pct"/>
            <w:vMerge/>
            <w:shd w:val="clear" w:color="auto" w:fill="auto"/>
            <w:noWrap/>
            <w:vAlign w:val="center"/>
          </w:tcPr>
          <w:p w:rsidR="00F72F8A" w:rsidRDefault="00F72F8A">
            <w:pPr>
              <w:widowControl/>
              <w:jc w:val="center"/>
              <w:rPr>
                <w:rFonts w:ascii="宋体" w:hAnsi="宋体" w:cs="宋体"/>
                <w:color w:val="000000"/>
                <w:kern w:val="0"/>
                <w:szCs w:val="21"/>
              </w:rPr>
            </w:pPr>
          </w:p>
        </w:tc>
        <w:tc>
          <w:tcPr>
            <w:tcW w:w="424" w:type="pct"/>
            <w:shd w:val="clear" w:color="auto" w:fill="auto"/>
            <w:noWrap/>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马岩岩</w:t>
            </w:r>
          </w:p>
        </w:tc>
        <w:tc>
          <w:tcPr>
            <w:tcW w:w="765"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副教授</w:t>
            </w:r>
          </w:p>
        </w:tc>
        <w:tc>
          <w:tcPr>
            <w:tcW w:w="2014" w:type="pct"/>
            <w:vAlign w:val="center"/>
          </w:tcPr>
          <w:p w:rsidR="00F72F8A" w:rsidRDefault="000A4FA3">
            <w:pPr>
              <w:widowControl/>
              <w:jc w:val="center"/>
              <w:rPr>
                <w:rFonts w:ascii="宋体" w:hAnsi="宋体" w:cs="宋体"/>
                <w:color w:val="000000"/>
                <w:kern w:val="0"/>
                <w:szCs w:val="21"/>
              </w:rPr>
            </w:pPr>
            <w:r>
              <w:rPr>
                <w:rFonts w:ascii="宋体" w:hAnsi="宋体" w:cs="宋体" w:hint="eastAsia"/>
                <w:color w:val="000000"/>
                <w:kern w:val="0"/>
                <w:szCs w:val="21"/>
              </w:rPr>
              <w:t>5.3人员密集场所类风险源分类分级</w:t>
            </w:r>
          </w:p>
        </w:tc>
      </w:tr>
    </w:tbl>
    <w:p w:rsidR="00F72F8A" w:rsidRDefault="000A4FA3">
      <w:pPr>
        <w:jc w:val="right"/>
        <w:rPr>
          <w:rFonts w:ascii="Times" w:hAnsi="Times" w:hint="eastAsia"/>
          <w:sz w:val="24"/>
        </w:rPr>
      </w:pPr>
      <w:r>
        <w:rPr>
          <w:rFonts w:ascii="Times" w:hAnsi="Times" w:hint="eastAsia"/>
          <w:sz w:val="24"/>
        </w:rPr>
        <w:t>《规范》编制组</w:t>
      </w:r>
    </w:p>
    <w:p w:rsidR="00F72F8A" w:rsidRDefault="000A4FA3">
      <w:pPr>
        <w:adjustRightInd w:val="0"/>
        <w:spacing w:line="360" w:lineRule="auto"/>
        <w:ind w:firstLineChars="200" w:firstLine="480"/>
        <w:jc w:val="right"/>
        <w:rPr>
          <w:rFonts w:ascii="Times" w:hAnsi="Times" w:cs="AdobeMingStd-Light" w:hint="eastAsia"/>
          <w:kern w:val="0"/>
          <w:sz w:val="24"/>
          <w:szCs w:val="28"/>
        </w:rPr>
      </w:pPr>
      <w:r>
        <w:rPr>
          <w:rFonts w:ascii="Times" w:hAnsi="Times" w:cs="AdobeMingStd-Light" w:hint="eastAsia"/>
          <w:kern w:val="0"/>
          <w:sz w:val="24"/>
          <w:szCs w:val="28"/>
        </w:rPr>
        <w:t>二〇二四年七月三日</w:t>
      </w:r>
    </w:p>
    <w:p w:rsidR="00F72F8A" w:rsidRDefault="00F72F8A"/>
    <w:sectPr w:rsidR="00F72F8A" w:rsidSect="00F72F8A">
      <w:footerReference w:type="even" r:id="rId8"/>
      <w:footerReference w:type="default" r:id="rId9"/>
      <w:pgSz w:w="11906" w:h="16838"/>
      <w:pgMar w:top="1440" w:right="1080" w:bottom="1440" w:left="1080"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C94" w:rsidRDefault="00FE1C94" w:rsidP="00F72F8A">
      <w:r>
        <w:separator/>
      </w:r>
    </w:p>
  </w:endnote>
  <w:endnote w:type="continuationSeparator" w:id="1">
    <w:p w:rsidR="00FE1C94" w:rsidRDefault="00FE1C94" w:rsidP="00F72F8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default"/>
    <w:sig w:usb0="00000000" w:usb1="00000000" w:usb2="00000000" w:usb3="00000000" w:csb0="00000000" w:csb1="00000000"/>
  </w:font>
  <w:font w:name="AdobeMingStd-Light">
    <w:altName w:val="MingLiU-ExtB"/>
    <w:panose1 w:val="02020300000000000000"/>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F8A" w:rsidRDefault="00761179">
    <w:pPr>
      <w:pStyle w:val="af1"/>
      <w:framePr w:wrap="around" w:vAnchor="text" w:hAnchor="margin" w:xAlign="center" w:y="1"/>
      <w:rPr>
        <w:rStyle w:val="af7"/>
      </w:rPr>
    </w:pPr>
    <w:r>
      <w:fldChar w:fldCharType="begin"/>
    </w:r>
    <w:r w:rsidR="000A4FA3">
      <w:rPr>
        <w:rStyle w:val="af7"/>
      </w:rPr>
      <w:instrText xml:space="preserve">PAGE  </w:instrText>
    </w:r>
    <w:r>
      <w:fldChar w:fldCharType="separate"/>
    </w:r>
    <w:r w:rsidR="000A4FA3">
      <w:rPr>
        <w:rStyle w:val="af7"/>
      </w:rPr>
      <w:t>1</w:t>
    </w:r>
    <w:r>
      <w:fldChar w:fldCharType="end"/>
    </w:r>
  </w:p>
  <w:p w:rsidR="00F72F8A" w:rsidRDefault="00F72F8A">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F8A" w:rsidRDefault="00761179">
    <w:pPr>
      <w:pStyle w:val="af1"/>
      <w:jc w:val="center"/>
    </w:pPr>
    <w:r>
      <w:fldChar w:fldCharType="begin"/>
    </w:r>
    <w:r w:rsidR="000A4FA3">
      <w:instrText>PAGE   \* MERGEFORMAT</w:instrText>
    </w:r>
    <w:r>
      <w:fldChar w:fldCharType="separate"/>
    </w:r>
    <w:r w:rsidR="00F11D06" w:rsidRPr="00F11D06">
      <w:rPr>
        <w:noProof/>
        <w:lang w:val="zh-CN"/>
      </w:rPr>
      <w:t>7</w:t>
    </w:r>
    <w:r>
      <w:fldChar w:fldCharType="end"/>
    </w:r>
  </w:p>
  <w:p w:rsidR="00F72F8A" w:rsidRDefault="00F72F8A">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C94" w:rsidRDefault="00FE1C94" w:rsidP="00F72F8A">
      <w:r>
        <w:separator/>
      </w:r>
    </w:p>
  </w:footnote>
  <w:footnote w:type="continuationSeparator" w:id="1">
    <w:p w:rsidR="00FE1C94" w:rsidRDefault="00FE1C94" w:rsidP="00F72F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8DC325"/>
    <w:multiLevelType w:val="multilevel"/>
    <w:tmpl w:val="A98DC325"/>
    <w:lvl w:ilvl="0">
      <w:start w:val="1"/>
      <w:numFmt w:val="decimal"/>
      <w:pStyle w:val="a"/>
      <w:suff w:val="nothing"/>
      <w:lvlText w:val="%1　"/>
      <w:lvlJc w:val="left"/>
      <w:pPr>
        <w:tabs>
          <w:tab w:val="left" w:pos="0"/>
        </w:tabs>
        <w:ind w:left="180" w:firstLine="0"/>
      </w:pPr>
      <w:rPr>
        <w:rFonts w:ascii="黑体" w:eastAsia="黑体" w:hAnsi="黑体" w:hint="eastAsia"/>
        <w:b w:val="0"/>
        <w:i w:val="0"/>
        <w:sz w:val="21"/>
        <w:szCs w:val="21"/>
      </w:rPr>
    </w:lvl>
    <w:lvl w:ilvl="1">
      <w:start w:val="1"/>
      <w:numFmt w:val="decimal"/>
      <w:pStyle w:val="a0"/>
      <w:suff w:val="nothing"/>
      <w:lvlText w:val="%1.%2　"/>
      <w:lvlJc w:val="left"/>
      <w:pPr>
        <w:tabs>
          <w:tab w:val="left" w:pos="0"/>
        </w:tabs>
        <w:ind w:left="0" w:firstLine="0"/>
      </w:pPr>
      <w:rPr>
        <w:rFonts w:ascii="黑体" w:eastAsia="黑体" w:hAnsi="黑体" w:cs="Times New Roman" w:hint="eastAsia"/>
        <w:b w:val="0"/>
        <w:bCs w:val="0"/>
        <w:i w:val="0"/>
        <w:iCs w:val="0"/>
        <w:caps w:val="0"/>
        <w:smallCaps w:val="0"/>
        <w:strike w:val="0"/>
        <w:dstrike w:val="0"/>
        <w:color w:val="000000"/>
        <w:spacing w:val="0"/>
        <w:kern w:val="0"/>
        <w:position w:val="0"/>
        <w:sz w:val="21"/>
        <w:szCs w:val="21"/>
        <w:u w:val="none"/>
      </w:rPr>
    </w:lvl>
    <w:lvl w:ilvl="2">
      <w:start w:val="1"/>
      <w:numFmt w:val="decimal"/>
      <w:pStyle w:val="a1"/>
      <w:suff w:val="nothing"/>
      <w:lvlText w:val="%1.%2.%3　"/>
      <w:lvlJc w:val="left"/>
      <w:pPr>
        <w:tabs>
          <w:tab w:val="left" w:pos="0"/>
        </w:tabs>
        <w:ind w:left="0" w:firstLine="0"/>
      </w:pPr>
      <w:rPr>
        <w:rFonts w:ascii="黑体" w:eastAsia="黑体" w:hAnsi="黑体" w:hint="eastAsia"/>
        <w:b w:val="0"/>
        <w:i w:val="0"/>
        <w:sz w:val="21"/>
      </w:rPr>
    </w:lvl>
    <w:lvl w:ilvl="3">
      <w:start w:val="1"/>
      <w:numFmt w:val="decimal"/>
      <w:suff w:val="nothing"/>
      <w:lvlText w:val="%1.%2.%3.%4　"/>
      <w:lvlJc w:val="left"/>
      <w:pPr>
        <w:tabs>
          <w:tab w:val="left" w:pos="0"/>
        </w:tabs>
        <w:ind w:left="0" w:firstLine="0"/>
      </w:pPr>
      <w:rPr>
        <w:rFonts w:ascii="黑体" w:eastAsia="黑体" w:hAnsi="黑体" w:hint="eastAsia"/>
        <w:b w:val="0"/>
        <w:i w:val="0"/>
        <w:sz w:val="21"/>
      </w:rPr>
    </w:lvl>
    <w:lvl w:ilvl="4">
      <w:start w:val="1"/>
      <w:numFmt w:val="decimal"/>
      <w:pStyle w:val="a2"/>
      <w:suff w:val="nothing"/>
      <w:lvlText w:val="%1.%2.%3.%4.%5　"/>
      <w:lvlJc w:val="left"/>
      <w:pPr>
        <w:tabs>
          <w:tab w:val="left" w:pos="0"/>
        </w:tabs>
        <w:ind w:left="0" w:firstLine="0"/>
      </w:pPr>
      <w:rPr>
        <w:rFonts w:ascii="黑体" w:eastAsia="黑体" w:hAnsi="黑体" w:hint="eastAsia"/>
        <w:b w:val="0"/>
        <w:i w:val="0"/>
        <w:sz w:val="21"/>
      </w:rPr>
    </w:lvl>
    <w:lvl w:ilvl="5">
      <w:start w:val="1"/>
      <w:numFmt w:val="decimal"/>
      <w:pStyle w:val="a3"/>
      <w:suff w:val="nothing"/>
      <w:lvlText w:val="%1.%2.%3.%4.%5.%6　"/>
      <w:lvlJc w:val="left"/>
      <w:pPr>
        <w:tabs>
          <w:tab w:val="left" w:pos="0"/>
        </w:tabs>
        <w:ind w:left="0" w:firstLine="0"/>
      </w:pPr>
      <w:rPr>
        <w:rFonts w:ascii="黑体" w:eastAsia="黑体" w:hAnsi="黑体" w:hint="eastAsia"/>
        <w:b w:val="0"/>
        <w:i w:val="0"/>
        <w:sz w:val="21"/>
      </w:rPr>
    </w:lvl>
    <w:lvl w:ilvl="6">
      <w:start w:val="1"/>
      <w:numFmt w:val="decimal"/>
      <w:suff w:val="nothing"/>
      <w:lvlText w:val="%1%2.%3.%4.%5.%6.%7　"/>
      <w:lvlJc w:val="left"/>
      <w:pPr>
        <w:tabs>
          <w:tab w:val="left" w:pos="0"/>
        </w:tabs>
        <w:ind w:left="0" w:firstLine="0"/>
      </w:pPr>
      <w:rPr>
        <w:rFonts w:ascii="黑体" w:eastAsia="黑体" w:hAnsi="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36979FD"/>
    <w:multiLevelType w:val="multilevel"/>
    <w:tmpl w:val="036979FD"/>
    <w:lvl w:ilvl="0">
      <w:start w:val="1"/>
      <w:numFmt w:val="japaneseCounting"/>
      <w:lvlText w:val="%1、"/>
      <w:lvlJc w:val="left"/>
      <w:pPr>
        <w:tabs>
          <w:tab w:val="left" w:pos="0"/>
        </w:tabs>
        <w:ind w:left="1360" w:hanging="720"/>
      </w:pPr>
      <w:rPr>
        <w:rFonts w:hint="default"/>
      </w:rPr>
    </w:lvl>
    <w:lvl w:ilvl="1">
      <w:start w:val="1"/>
      <w:numFmt w:val="lowerLetter"/>
      <w:lvlText w:val="%2)"/>
      <w:lvlJc w:val="left"/>
      <w:pPr>
        <w:tabs>
          <w:tab w:val="left" w:pos="0"/>
        </w:tabs>
        <w:ind w:left="1480" w:hanging="420"/>
      </w:pPr>
    </w:lvl>
    <w:lvl w:ilvl="2">
      <w:start w:val="1"/>
      <w:numFmt w:val="lowerRoman"/>
      <w:lvlText w:val="%3."/>
      <w:lvlJc w:val="right"/>
      <w:pPr>
        <w:tabs>
          <w:tab w:val="left" w:pos="0"/>
        </w:tabs>
        <w:ind w:left="1900" w:hanging="420"/>
      </w:pPr>
    </w:lvl>
    <w:lvl w:ilvl="3">
      <w:start w:val="1"/>
      <w:numFmt w:val="decimal"/>
      <w:lvlText w:val="%4."/>
      <w:lvlJc w:val="left"/>
      <w:pPr>
        <w:tabs>
          <w:tab w:val="left" w:pos="0"/>
        </w:tabs>
        <w:ind w:left="2320" w:hanging="420"/>
      </w:pPr>
    </w:lvl>
    <w:lvl w:ilvl="4">
      <w:start w:val="1"/>
      <w:numFmt w:val="lowerLetter"/>
      <w:lvlText w:val="%5)"/>
      <w:lvlJc w:val="left"/>
      <w:pPr>
        <w:tabs>
          <w:tab w:val="left" w:pos="0"/>
        </w:tabs>
        <w:ind w:left="2740" w:hanging="420"/>
      </w:pPr>
    </w:lvl>
    <w:lvl w:ilvl="5">
      <w:start w:val="1"/>
      <w:numFmt w:val="lowerRoman"/>
      <w:lvlText w:val="%6."/>
      <w:lvlJc w:val="right"/>
      <w:pPr>
        <w:tabs>
          <w:tab w:val="left" w:pos="0"/>
        </w:tabs>
        <w:ind w:left="3160" w:hanging="420"/>
      </w:pPr>
    </w:lvl>
    <w:lvl w:ilvl="6">
      <w:start w:val="1"/>
      <w:numFmt w:val="decimal"/>
      <w:lvlText w:val="%7."/>
      <w:lvlJc w:val="left"/>
      <w:pPr>
        <w:tabs>
          <w:tab w:val="left" w:pos="0"/>
        </w:tabs>
        <w:ind w:left="3580" w:hanging="420"/>
      </w:pPr>
    </w:lvl>
    <w:lvl w:ilvl="7">
      <w:start w:val="1"/>
      <w:numFmt w:val="lowerLetter"/>
      <w:lvlText w:val="%8)"/>
      <w:lvlJc w:val="left"/>
      <w:pPr>
        <w:tabs>
          <w:tab w:val="left" w:pos="0"/>
        </w:tabs>
        <w:ind w:left="4000" w:hanging="420"/>
      </w:pPr>
    </w:lvl>
    <w:lvl w:ilvl="8">
      <w:start w:val="1"/>
      <w:numFmt w:val="lowerRoman"/>
      <w:lvlText w:val="%9."/>
      <w:lvlJc w:val="right"/>
      <w:pPr>
        <w:tabs>
          <w:tab w:val="left" w:pos="0"/>
        </w:tabs>
        <w:ind w:left="4420" w:hanging="420"/>
      </w:pPr>
    </w:lvl>
  </w:abstractNum>
  <w:abstractNum w:abstractNumId="2">
    <w:nsid w:val="5E63562F"/>
    <w:multiLevelType w:val="multilevel"/>
    <w:tmpl w:val="5E63562F"/>
    <w:lvl w:ilvl="0">
      <w:start w:val="1"/>
      <w:numFmt w:val="decimal"/>
      <w:pStyle w:val="a4"/>
      <w:suff w:val="nothing"/>
      <w:lvlText w:val="注%1："/>
      <w:lvlJc w:val="left"/>
      <w:pPr>
        <w:ind w:left="811" w:hanging="448"/>
      </w:pPr>
      <w:rPr>
        <w:rFonts w:ascii="黑体" w:eastAsia="黑体" w:hAnsi="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696ADF96"/>
    <w:multiLevelType w:val="multilevel"/>
    <w:tmpl w:val="696ADF96"/>
    <w:lvl w:ilvl="0">
      <w:start w:val="1"/>
      <w:numFmt w:val="lowerLetter"/>
      <w:pStyle w:val="a5"/>
      <w:lvlText w:val="%1)"/>
      <w:lvlJc w:val="left"/>
      <w:pPr>
        <w:tabs>
          <w:tab w:val="left" w:pos="840"/>
        </w:tabs>
        <w:ind w:left="839" w:hanging="419"/>
      </w:pPr>
      <w:rPr>
        <w:rFonts w:ascii="宋体" w:eastAsia="宋体" w:hAnsi="宋体" w:hint="eastAsia"/>
        <w:b w:val="0"/>
        <w:i w:val="0"/>
        <w:sz w:val="21"/>
        <w:szCs w:val="21"/>
      </w:rPr>
    </w:lvl>
    <w:lvl w:ilvl="1">
      <w:start w:val="1"/>
      <w:numFmt w:val="lowerLetter"/>
      <w:pStyle w:val="a6"/>
      <w:lvlText w:val="%2)"/>
      <w:lvlJc w:val="left"/>
      <w:pPr>
        <w:tabs>
          <w:tab w:val="left" w:pos="1260"/>
        </w:tabs>
        <w:ind w:left="1259" w:hanging="419"/>
      </w:pPr>
      <w:rPr>
        <w:rFonts w:hint="eastAsia"/>
      </w:rPr>
    </w:lvl>
    <w:lvl w:ilvl="2">
      <w:start w:val="2"/>
      <w:numFmt w:val="decimal"/>
      <w:lvlText w:val="%3）"/>
      <w:lvlJc w:val="left"/>
      <w:pPr>
        <w:tabs>
          <w:tab w:val="left" w:pos="0"/>
        </w:tabs>
        <w:ind w:left="360" w:hanging="360"/>
      </w:pPr>
      <w:rPr>
        <w:rFonts w:hint="default"/>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rson w15:author="神雕大侠1380076239">
    <w15:presenceInfo w15:providerId="WPS Office" w15:userId="34226344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EyNmY0N2EwZDg0OWU1YzYwMjMwZDlkYTcwZGRkM2UifQ=="/>
  </w:docVars>
  <w:rsids>
    <w:rsidRoot w:val="001B66CA"/>
    <w:rsid w:val="000130A2"/>
    <w:rsid w:val="00021686"/>
    <w:rsid w:val="000259E2"/>
    <w:rsid w:val="00033F39"/>
    <w:rsid w:val="00042C0D"/>
    <w:rsid w:val="00044B5C"/>
    <w:rsid w:val="00047269"/>
    <w:rsid w:val="00061B9C"/>
    <w:rsid w:val="00064D70"/>
    <w:rsid w:val="000702FD"/>
    <w:rsid w:val="0009093C"/>
    <w:rsid w:val="00093150"/>
    <w:rsid w:val="000A4FA3"/>
    <w:rsid w:val="000B0F0B"/>
    <w:rsid w:val="000B1C0C"/>
    <w:rsid w:val="000B694F"/>
    <w:rsid w:val="000C1D0D"/>
    <w:rsid w:val="000C2C59"/>
    <w:rsid w:val="000D0FDB"/>
    <w:rsid w:val="000D10CC"/>
    <w:rsid w:val="000D70E6"/>
    <w:rsid w:val="000E011B"/>
    <w:rsid w:val="000E0F06"/>
    <w:rsid w:val="000F0293"/>
    <w:rsid w:val="000F4512"/>
    <w:rsid w:val="000F46D2"/>
    <w:rsid w:val="000F5B82"/>
    <w:rsid w:val="001000BC"/>
    <w:rsid w:val="00103008"/>
    <w:rsid w:val="00113292"/>
    <w:rsid w:val="00113FDD"/>
    <w:rsid w:val="00116F7D"/>
    <w:rsid w:val="00123D65"/>
    <w:rsid w:val="00125ED4"/>
    <w:rsid w:val="00133043"/>
    <w:rsid w:val="00133F38"/>
    <w:rsid w:val="00134FF1"/>
    <w:rsid w:val="001421CE"/>
    <w:rsid w:val="00143393"/>
    <w:rsid w:val="00145134"/>
    <w:rsid w:val="00150DA4"/>
    <w:rsid w:val="00151E57"/>
    <w:rsid w:val="001545E1"/>
    <w:rsid w:val="00156C12"/>
    <w:rsid w:val="00176F65"/>
    <w:rsid w:val="0018209D"/>
    <w:rsid w:val="00186566"/>
    <w:rsid w:val="00187468"/>
    <w:rsid w:val="00190898"/>
    <w:rsid w:val="00194585"/>
    <w:rsid w:val="001A0A82"/>
    <w:rsid w:val="001A0F8F"/>
    <w:rsid w:val="001A79AD"/>
    <w:rsid w:val="001B34FB"/>
    <w:rsid w:val="001B66CA"/>
    <w:rsid w:val="001C1620"/>
    <w:rsid w:val="001E3A40"/>
    <w:rsid w:val="001F25EE"/>
    <w:rsid w:val="001F63EC"/>
    <w:rsid w:val="00200E3D"/>
    <w:rsid w:val="00201FE1"/>
    <w:rsid w:val="00205AEA"/>
    <w:rsid w:val="002156C0"/>
    <w:rsid w:val="002167A9"/>
    <w:rsid w:val="002215D3"/>
    <w:rsid w:val="00221F47"/>
    <w:rsid w:val="0022234B"/>
    <w:rsid w:val="00230017"/>
    <w:rsid w:val="00230CDF"/>
    <w:rsid w:val="00235BAE"/>
    <w:rsid w:val="002366C4"/>
    <w:rsid w:val="00236CD3"/>
    <w:rsid w:val="00251D68"/>
    <w:rsid w:val="00252C70"/>
    <w:rsid w:val="0026265A"/>
    <w:rsid w:val="00266063"/>
    <w:rsid w:val="00277CEF"/>
    <w:rsid w:val="00296E32"/>
    <w:rsid w:val="00297C69"/>
    <w:rsid w:val="002A6BA0"/>
    <w:rsid w:val="002B143F"/>
    <w:rsid w:val="002B6AA1"/>
    <w:rsid w:val="002B6F0F"/>
    <w:rsid w:val="002C0FFA"/>
    <w:rsid w:val="002D22C9"/>
    <w:rsid w:val="002D3EDB"/>
    <w:rsid w:val="002D6995"/>
    <w:rsid w:val="00312DA2"/>
    <w:rsid w:val="00313819"/>
    <w:rsid w:val="00317E65"/>
    <w:rsid w:val="00323CE4"/>
    <w:rsid w:val="0033014D"/>
    <w:rsid w:val="0033320B"/>
    <w:rsid w:val="00337157"/>
    <w:rsid w:val="0034008D"/>
    <w:rsid w:val="003444D7"/>
    <w:rsid w:val="00371E46"/>
    <w:rsid w:val="00385CE7"/>
    <w:rsid w:val="003860BE"/>
    <w:rsid w:val="0039214C"/>
    <w:rsid w:val="003A240B"/>
    <w:rsid w:val="003B09ED"/>
    <w:rsid w:val="003D442E"/>
    <w:rsid w:val="003D4F7D"/>
    <w:rsid w:val="003D7BED"/>
    <w:rsid w:val="003E6F31"/>
    <w:rsid w:val="003F31CA"/>
    <w:rsid w:val="0041666A"/>
    <w:rsid w:val="004204D0"/>
    <w:rsid w:val="0042139A"/>
    <w:rsid w:val="00423A8E"/>
    <w:rsid w:val="00440B45"/>
    <w:rsid w:val="00441762"/>
    <w:rsid w:val="004431AB"/>
    <w:rsid w:val="00443D1A"/>
    <w:rsid w:val="00450B95"/>
    <w:rsid w:val="0045711B"/>
    <w:rsid w:val="00463D5B"/>
    <w:rsid w:val="00472AB9"/>
    <w:rsid w:val="00475124"/>
    <w:rsid w:val="00480D57"/>
    <w:rsid w:val="004818D3"/>
    <w:rsid w:val="004850F3"/>
    <w:rsid w:val="004A243D"/>
    <w:rsid w:val="004C54C7"/>
    <w:rsid w:val="004C69FD"/>
    <w:rsid w:val="004D4DFA"/>
    <w:rsid w:val="004E46E8"/>
    <w:rsid w:val="004E4C78"/>
    <w:rsid w:val="004F3EF7"/>
    <w:rsid w:val="00500737"/>
    <w:rsid w:val="00501086"/>
    <w:rsid w:val="00502F3D"/>
    <w:rsid w:val="00507799"/>
    <w:rsid w:val="005111B5"/>
    <w:rsid w:val="0051132E"/>
    <w:rsid w:val="00511C25"/>
    <w:rsid w:val="005227C2"/>
    <w:rsid w:val="005272D7"/>
    <w:rsid w:val="00530AFB"/>
    <w:rsid w:val="0053125D"/>
    <w:rsid w:val="00532C88"/>
    <w:rsid w:val="005349E0"/>
    <w:rsid w:val="00543700"/>
    <w:rsid w:val="00544A48"/>
    <w:rsid w:val="00555B6A"/>
    <w:rsid w:val="00560110"/>
    <w:rsid w:val="00563056"/>
    <w:rsid w:val="00565D79"/>
    <w:rsid w:val="00571310"/>
    <w:rsid w:val="005816B1"/>
    <w:rsid w:val="0058398F"/>
    <w:rsid w:val="005925C2"/>
    <w:rsid w:val="0059450E"/>
    <w:rsid w:val="0059570C"/>
    <w:rsid w:val="005A1DCA"/>
    <w:rsid w:val="005A2EB2"/>
    <w:rsid w:val="005A3948"/>
    <w:rsid w:val="005A6460"/>
    <w:rsid w:val="005B01EF"/>
    <w:rsid w:val="005B2542"/>
    <w:rsid w:val="005B272B"/>
    <w:rsid w:val="005B5494"/>
    <w:rsid w:val="005B7936"/>
    <w:rsid w:val="005C4B0F"/>
    <w:rsid w:val="005C4E61"/>
    <w:rsid w:val="005C6B55"/>
    <w:rsid w:val="005D5084"/>
    <w:rsid w:val="005D7BD9"/>
    <w:rsid w:val="005D7E1A"/>
    <w:rsid w:val="005E382A"/>
    <w:rsid w:val="005E42EA"/>
    <w:rsid w:val="005E5D52"/>
    <w:rsid w:val="005F4CFC"/>
    <w:rsid w:val="0060433B"/>
    <w:rsid w:val="00610EBC"/>
    <w:rsid w:val="006202A0"/>
    <w:rsid w:val="006225AB"/>
    <w:rsid w:val="00625908"/>
    <w:rsid w:val="00637D9A"/>
    <w:rsid w:val="0064520A"/>
    <w:rsid w:val="00646826"/>
    <w:rsid w:val="006500E6"/>
    <w:rsid w:val="006506D9"/>
    <w:rsid w:val="00650EC4"/>
    <w:rsid w:val="00651D5D"/>
    <w:rsid w:val="0065282F"/>
    <w:rsid w:val="00652E81"/>
    <w:rsid w:val="006536BD"/>
    <w:rsid w:val="00656FFA"/>
    <w:rsid w:val="006575EC"/>
    <w:rsid w:val="0066322C"/>
    <w:rsid w:val="00665CF4"/>
    <w:rsid w:val="006814AE"/>
    <w:rsid w:val="00682A19"/>
    <w:rsid w:val="006842A4"/>
    <w:rsid w:val="00690C79"/>
    <w:rsid w:val="006914D3"/>
    <w:rsid w:val="006A0C53"/>
    <w:rsid w:val="006A1A39"/>
    <w:rsid w:val="006A26A7"/>
    <w:rsid w:val="006A6401"/>
    <w:rsid w:val="006A6950"/>
    <w:rsid w:val="006C137F"/>
    <w:rsid w:val="006C1639"/>
    <w:rsid w:val="006C309D"/>
    <w:rsid w:val="006D4585"/>
    <w:rsid w:val="006D4A42"/>
    <w:rsid w:val="006D56B5"/>
    <w:rsid w:val="006D6F7F"/>
    <w:rsid w:val="006D732C"/>
    <w:rsid w:val="006F3647"/>
    <w:rsid w:val="006F432C"/>
    <w:rsid w:val="006F78F5"/>
    <w:rsid w:val="00701DB9"/>
    <w:rsid w:val="00701F78"/>
    <w:rsid w:val="007070CE"/>
    <w:rsid w:val="00712FDB"/>
    <w:rsid w:val="0071679C"/>
    <w:rsid w:val="0072027F"/>
    <w:rsid w:val="00736FFC"/>
    <w:rsid w:val="0074125C"/>
    <w:rsid w:val="0074237F"/>
    <w:rsid w:val="00744F48"/>
    <w:rsid w:val="007570DB"/>
    <w:rsid w:val="00761179"/>
    <w:rsid w:val="00761BDF"/>
    <w:rsid w:val="00765EB3"/>
    <w:rsid w:val="00783763"/>
    <w:rsid w:val="007837F9"/>
    <w:rsid w:val="00787665"/>
    <w:rsid w:val="007A084D"/>
    <w:rsid w:val="007A2FBD"/>
    <w:rsid w:val="007A5398"/>
    <w:rsid w:val="007A55A8"/>
    <w:rsid w:val="007A7BD5"/>
    <w:rsid w:val="007C01B8"/>
    <w:rsid w:val="007C026D"/>
    <w:rsid w:val="007C14A2"/>
    <w:rsid w:val="007C22AF"/>
    <w:rsid w:val="007C7ADC"/>
    <w:rsid w:val="007D100D"/>
    <w:rsid w:val="007D38F4"/>
    <w:rsid w:val="007D74D4"/>
    <w:rsid w:val="007E2FAB"/>
    <w:rsid w:val="007E39E1"/>
    <w:rsid w:val="007E3CE3"/>
    <w:rsid w:val="007E453B"/>
    <w:rsid w:val="007E457F"/>
    <w:rsid w:val="007E4DB7"/>
    <w:rsid w:val="007F0388"/>
    <w:rsid w:val="007F2020"/>
    <w:rsid w:val="008014EB"/>
    <w:rsid w:val="008069EB"/>
    <w:rsid w:val="00814B85"/>
    <w:rsid w:val="0082145D"/>
    <w:rsid w:val="00822AAB"/>
    <w:rsid w:val="008257D6"/>
    <w:rsid w:val="00825A9E"/>
    <w:rsid w:val="00826916"/>
    <w:rsid w:val="00840FF9"/>
    <w:rsid w:val="0084697E"/>
    <w:rsid w:val="0084724E"/>
    <w:rsid w:val="00856A8F"/>
    <w:rsid w:val="00857D1D"/>
    <w:rsid w:val="00871156"/>
    <w:rsid w:val="00874649"/>
    <w:rsid w:val="00892532"/>
    <w:rsid w:val="00893A27"/>
    <w:rsid w:val="00894213"/>
    <w:rsid w:val="008A0584"/>
    <w:rsid w:val="008A0AAB"/>
    <w:rsid w:val="008A5A37"/>
    <w:rsid w:val="008A6166"/>
    <w:rsid w:val="008B1849"/>
    <w:rsid w:val="008D617B"/>
    <w:rsid w:val="008D7FD7"/>
    <w:rsid w:val="008F4168"/>
    <w:rsid w:val="008F623F"/>
    <w:rsid w:val="00900E65"/>
    <w:rsid w:val="009011C1"/>
    <w:rsid w:val="00902C09"/>
    <w:rsid w:val="00912423"/>
    <w:rsid w:val="00913F79"/>
    <w:rsid w:val="00917742"/>
    <w:rsid w:val="00917CF6"/>
    <w:rsid w:val="00922F62"/>
    <w:rsid w:val="00925A44"/>
    <w:rsid w:val="0092604A"/>
    <w:rsid w:val="00927284"/>
    <w:rsid w:val="0093169C"/>
    <w:rsid w:val="0093320D"/>
    <w:rsid w:val="009366BC"/>
    <w:rsid w:val="00936B43"/>
    <w:rsid w:val="00937F9E"/>
    <w:rsid w:val="0094129B"/>
    <w:rsid w:val="00942514"/>
    <w:rsid w:val="00945105"/>
    <w:rsid w:val="0094601F"/>
    <w:rsid w:val="0095321E"/>
    <w:rsid w:val="00955418"/>
    <w:rsid w:val="00960225"/>
    <w:rsid w:val="00960B60"/>
    <w:rsid w:val="00996216"/>
    <w:rsid w:val="00997889"/>
    <w:rsid w:val="009C35FC"/>
    <w:rsid w:val="009C5817"/>
    <w:rsid w:val="009C753B"/>
    <w:rsid w:val="009D5C80"/>
    <w:rsid w:val="009E3312"/>
    <w:rsid w:val="00A07A51"/>
    <w:rsid w:val="00A25311"/>
    <w:rsid w:val="00A34DCA"/>
    <w:rsid w:val="00A457C6"/>
    <w:rsid w:val="00A47D77"/>
    <w:rsid w:val="00A52244"/>
    <w:rsid w:val="00A525B9"/>
    <w:rsid w:val="00A55DAA"/>
    <w:rsid w:val="00A56B86"/>
    <w:rsid w:val="00A6295A"/>
    <w:rsid w:val="00A6604D"/>
    <w:rsid w:val="00A660FE"/>
    <w:rsid w:val="00A670D9"/>
    <w:rsid w:val="00A70D9A"/>
    <w:rsid w:val="00A71E37"/>
    <w:rsid w:val="00A72303"/>
    <w:rsid w:val="00A73D4F"/>
    <w:rsid w:val="00A80090"/>
    <w:rsid w:val="00A85ED8"/>
    <w:rsid w:val="00A86A8F"/>
    <w:rsid w:val="00AA02BE"/>
    <w:rsid w:val="00AB3A9C"/>
    <w:rsid w:val="00AC2269"/>
    <w:rsid w:val="00AC543E"/>
    <w:rsid w:val="00AC5450"/>
    <w:rsid w:val="00AC69D7"/>
    <w:rsid w:val="00AC723E"/>
    <w:rsid w:val="00AD27D9"/>
    <w:rsid w:val="00AD4611"/>
    <w:rsid w:val="00AD4F06"/>
    <w:rsid w:val="00AE506F"/>
    <w:rsid w:val="00AE568C"/>
    <w:rsid w:val="00AF29B9"/>
    <w:rsid w:val="00B106FA"/>
    <w:rsid w:val="00B25EC3"/>
    <w:rsid w:val="00B370F6"/>
    <w:rsid w:val="00B37A54"/>
    <w:rsid w:val="00B47280"/>
    <w:rsid w:val="00B5158A"/>
    <w:rsid w:val="00B5616E"/>
    <w:rsid w:val="00B77DBC"/>
    <w:rsid w:val="00B80F9B"/>
    <w:rsid w:val="00B849ED"/>
    <w:rsid w:val="00B9609A"/>
    <w:rsid w:val="00BB3973"/>
    <w:rsid w:val="00BB3F5B"/>
    <w:rsid w:val="00BB70E2"/>
    <w:rsid w:val="00BB7A0D"/>
    <w:rsid w:val="00BC2B9B"/>
    <w:rsid w:val="00BC5A7B"/>
    <w:rsid w:val="00BD4713"/>
    <w:rsid w:val="00BD4E66"/>
    <w:rsid w:val="00BD7074"/>
    <w:rsid w:val="00BE3EC8"/>
    <w:rsid w:val="00BE3EDF"/>
    <w:rsid w:val="00BF10CE"/>
    <w:rsid w:val="00BF6B84"/>
    <w:rsid w:val="00C00B7B"/>
    <w:rsid w:val="00C126A0"/>
    <w:rsid w:val="00C1751F"/>
    <w:rsid w:val="00C308EB"/>
    <w:rsid w:val="00C36A91"/>
    <w:rsid w:val="00C41F80"/>
    <w:rsid w:val="00C45BA3"/>
    <w:rsid w:val="00C5555E"/>
    <w:rsid w:val="00C57F20"/>
    <w:rsid w:val="00C879E5"/>
    <w:rsid w:val="00C942D8"/>
    <w:rsid w:val="00C944E5"/>
    <w:rsid w:val="00CA2452"/>
    <w:rsid w:val="00CA513E"/>
    <w:rsid w:val="00CB118F"/>
    <w:rsid w:val="00CB2415"/>
    <w:rsid w:val="00CB49E6"/>
    <w:rsid w:val="00CC276A"/>
    <w:rsid w:val="00CC5BC9"/>
    <w:rsid w:val="00CD4A6C"/>
    <w:rsid w:val="00CE0F51"/>
    <w:rsid w:val="00CE45AA"/>
    <w:rsid w:val="00D060B7"/>
    <w:rsid w:val="00D12B6A"/>
    <w:rsid w:val="00D12C11"/>
    <w:rsid w:val="00D203A8"/>
    <w:rsid w:val="00D242F0"/>
    <w:rsid w:val="00D37101"/>
    <w:rsid w:val="00D40F9F"/>
    <w:rsid w:val="00D4215B"/>
    <w:rsid w:val="00D43B4E"/>
    <w:rsid w:val="00D44BA8"/>
    <w:rsid w:val="00D507CD"/>
    <w:rsid w:val="00D57EED"/>
    <w:rsid w:val="00D60B8D"/>
    <w:rsid w:val="00D6139E"/>
    <w:rsid w:val="00D66328"/>
    <w:rsid w:val="00D75770"/>
    <w:rsid w:val="00D83D35"/>
    <w:rsid w:val="00D85F23"/>
    <w:rsid w:val="00D91F44"/>
    <w:rsid w:val="00D93E48"/>
    <w:rsid w:val="00D97494"/>
    <w:rsid w:val="00DA27E8"/>
    <w:rsid w:val="00DA4BE5"/>
    <w:rsid w:val="00DB12AE"/>
    <w:rsid w:val="00DB2ECA"/>
    <w:rsid w:val="00DB44AA"/>
    <w:rsid w:val="00DB7E1D"/>
    <w:rsid w:val="00DC1DE5"/>
    <w:rsid w:val="00DD227F"/>
    <w:rsid w:val="00DE38DC"/>
    <w:rsid w:val="00DE5D5B"/>
    <w:rsid w:val="00DF3EEF"/>
    <w:rsid w:val="00DF5AA6"/>
    <w:rsid w:val="00DF6DCF"/>
    <w:rsid w:val="00E01E6B"/>
    <w:rsid w:val="00E05C61"/>
    <w:rsid w:val="00E06641"/>
    <w:rsid w:val="00E06682"/>
    <w:rsid w:val="00E07E24"/>
    <w:rsid w:val="00E21D99"/>
    <w:rsid w:val="00E23723"/>
    <w:rsid w:val="00E34966"/>
    <w:rsid w:val="00E40F07"/>
    <w:rsid w:val="00E450D7"/>
    <w:rsid w:val="00E45F2E"/>
    <w:rsid w:val="00E47B2A"/>
    <w:rsid w:val="00E47D03"/>
    <w:rsid w:val="00E60484"/>
    <w:rsid w:val="00E72D5C"/>
    <w:rsid w:val="00E7385D"/>
    <w:rsid w:val="00E84ACB"/>
    <w:rsid w:val="00EA13A3"/>
    <w:rsid w:val="00EA1F50"/>
    <w:rsid w:val="00EA6075"/>
    <w:rsid w:val="00EB364E"/>
    <w:rsid w:val="00EB3ACB"/>
    <w:rsid w:val="00EB4EC9"/>
    <w:rsid w:val="00ED282E"/>
    <w:rsid w:val="00ED413F"/>
    <w:rsid w:val="00EE4095"/>
    <w:rsid w:val="00EE4E05"/>
    <w:rsid w:val="00EF04EB"/>
    <w:rsid w:val="00EF2E9A"/>
    <w:rsid w:val="00EF687B"/>
    <w:rsid w:val="00F0438F"/>
    <w:rsid w:val="00F11D06"/>
    <w:rsid w:val="00F15D7A"/>
    <w:rsid w:val="00F21DA6"/>
    <w:rsid w:val="00F2725E"/>
    <w:rsid w:val="00F348F0"/>
    <w:rsid w:val="00F35530"/>
    <w:rsid w:val="00F4474A"/>
    <w:rsid w:val="00F72F8A"/>
    <w:rsid w:val="00F75D07"/>
    <w:rsid w:val="00F92B4B"/>
    <w:rsid w:val="00F9523E"/>
    <w:rsid w:val="00FA60E4"/>
    <w:rsid w:val="00FA7D61"/>
    <w:rsid w:val="00FB7985"/>
    <w:rsid w:val="00FC0105"/>
    <w:rsid w:val="00FC43BD"/>
    <w:rsid w:val="00FD070F"/>
    <w:rsid w:val="00FD3146"/>
    <w:rsid w:val="00FD62A5"/>
    <w:rsid w:val="00FE1C94"/>
    <w:rsid w:val="00FE32A0"/>
    <w:rsid w:val="00FE5C26"/>
    <w:rsid w:val="00FF5B80"/>
    <w:rsid w:val="021D04ED"/>
    <w:rsid w:val="04722D72"/>
    <w:rsid w:val="05FD1930"/>
    <w:rsid w:val="067601CC"/>
    <w:rsid w:val="072365A6"/>
    <w:rsid w:val="097C3187"/>
    <w:rsid w:val="09ED69F7"/>
    <w:rsid w:val="0A8F6905"/>
    <w:rsid w:val="0AFC06F4"/>
    <w:rsid w:val="0D09556C"/>
    <w:rsid w:val="0D243986"/>
    <w:rsid w:val="0F667CFC"/>
    <w:rsid w:val="114E421F"/>
    <w:rsid w:val="11990007"/>
    <w:rsid w:val="13F60B9E"/>
    <w:rsid w:val="17FF6B62"/>
    <w:rsid w:val="18E45469"/>
    <w:rsid w:val="1A6E4F51"/>
    <w:rsid w:val="1A7741DF"/>
    <w:rsid w:val="1DDD61BF"/>
    <w:rsid w:val="1F7D1500"/>
    <w:rsid w:val="21A61FC4"/>
    <w:rsid w:val="21DC12D8"/>
    <w:rsid w:val="22845BC3"/>
    <w:rsid w:val="229138A6"/>
    <w:rsid w:val="24F627AC"/>
    <w:rsid w:val="26E74AA2"/>
    <w:rsid w:val="289538E0"/>
    <w:rsid w:val="29313448"/>
    <w:rsid w:val="2B4C2187"/>
    <w:rsid w:val="2CB35427"/>
    <w:rsid w:val="2E051259"/>
    <w:rsid w:val="2FED4BA3"/>
    <w:rsid w:val="319A1E75"/>
    <w:rsid w:val="35E651D8"/>
    <w:rsid w:val="3602084F"/>
    <w:rsid w:val="38640635"/>
    <w:rsid w:val="39D32C64"/>
    <w:rsid w:val="3B850D5C"/>
    <w:rsid w:val="3C7866AA"/>
    <w:rsid w:val="40DB6A32"/>
    <w:rsid w:val="46760C99"/>
    <w:rsid w:val="46A47E62"/>
    <w:rsid w:val="4C810F06"/>
    <w:rsid w:val="4DB2695D"/>
    <w:rsid w:val="4FF27066"/>
    <w:rsid w:val="5028546E"/>
    <w:rsid w:val="51F810C6"/>
    <w:rsid w:val="5305145A"/>
    <w:rsid w:val="549301AF"/>
    <w:rsid w:val="555F69C6"/>
    <w:rsid w:val="565019E7"/>
    <w:rsid w:val="575B4D60"/>
    <w:rsid w:val="582B4E00"/>
    <w:rsid w:val="5C276190"/>
    <w:rsid w:val="5C9951BB"/>
    <w:rsid w:val="5CA761A5"/>
    <w:rsid w:val="5D75737A"/>
    <w:rsid w:val="5F7F7794"/>
    <w:rsid w:val="60E46B00"/>
    <w:rsid w:val="6303193C"/>
    <w:rsid w:val="652A5785"/>
    <w:rsid w:val="68310765"/>
    <w:rsid w:val="696A7FF6"/>
    <w:rsid w:val="6ADE3BBB"/>
    <w:rsid w:val="70A25A07"/>
    <w:rsid w:val="70E550D8"/>
    <w:rsid w:val="71A6449C"/>
    <w:rsid w:val="765050B2"/>
    <w:rsid w:val="774F4518"/>
    <w:rsid w:val="77CA61AD"/>
    <w:rsid w:val="77FD0540"/>
    <w:rsid w:val="78322C70"/>
    <w:rsid w:val="783D785C"/>
    <w:rsid w:val="784D0473"/>
    <w:rsid w:val="78E021F7"/>
    <w:rsid w:val="79703A50"/>
    <w:rsid w:val="7F301688"/>
    <w:rsid w:val="7F7D73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qFormat="1"/>
    <w:lsdException w:name="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9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F72F8A"/>
    <w:pPr>
      <w:widowControl w:val="0"/>
      <w:jc w:val="both"/>
    </w:pPr>
    <w:rPr>
      <w:kern w:val="2"/>
      <w:sz w:val="21"/>
      <w:szCs w:val="24"/>
    </w:rPr>
  </w:style>
  <w:style w:type="paragraph" w:styleId="1">
    <w:name w:val="heading 1"/>
    <w:basedOn w:val="a7"/>
    <w:next w:val="a7"/>
    <w:autoRedefine/>
    <w:uiPriority w:val="9"/>
    <w:qFormat/>
    <w:rsid w:val="00F72F8A"/>
    <w:pPr>
      <w:keepNext/>
      <w:keepLines/>
      <w:spacing w:before="340" w:after="330" w:line="578" w:lineRule="auto"/>
      <w:outlineLvl w:val="0"/>
    </w:pPr>
    <w:rPr>
      <w:b/>
      <w:bCs/>
      <w:kern w:val="44"/>
      <w:sz w:val="44"/>
      <w:szCs w:val="44"/>
    </w:rPr>
  </w:style>
  <w:style w:type="paragraph" w:styleId="2">
    <w:name w:val="heading 2"/>
    <w:basedOn w:val="a7"/>
    <w:next w:val="a7"/>
    <w:link w:val="2Char"/>
    <w:autoRedefine/>
    <w:uiPriority w:val="9"/>
    <w:unhideWhenUsed/>
    <w:qFormat/>
    <w:rsid w:val="00F72F8A"/>
    <w:pPr>
      <w:keepNext/>
      <w:keepLines/>
      <w:spacing w:line="360" w:lineRule="auto"/>
      <w:ind w:left="578" w:hanging="578"/>
      <w:outlineLvl w:val="1"/>
    </w:pPr>
    <w:rPr>
      <w:bCs/>
      <w:sz w:val="24"/>
      <w:szCs w:val="32"/>
    </w:rPr>
  </w:style>
  <w:style w:type="paragraph" w:styleId="3">
    <w:name w:val="heading 3"/>
    <w:basedOn w:val="a7"/>
    <w:autoRedefine/>
    <w:uiPriority w:val="9"/>
    <w:qFormat/>
    <w:rsid w:val="00F72F8A"/>
    <w:pPr>
      <w:widowControl/>
      <w:spacing w:before="100" w:beforeAutospacing="1" w:after="100" w:afterAutospacing="1"/>
      <w:jc w:val="left"/>
      <w:outlineLvl w:val="2"/>
    </w:pPr>
    <w:rPr>
      <w:rFonts w:ascii="宋体" w:cs="宋体"/>
      <w:b/>
      <w:bCs/>
      <w:color w:val="333333"/>
      <w:kern w:val="0"/>
      <w:sz w:val="28"/>
      <w:szCs w:val="28"/>
    </w:rPr>
  </w:style>
  <w:style w:type="paragraph" w:styleId="4">
    <w:name w:val="heading 4"/>
    <w:basedOn w:val="a7"/>
    <w:next w:val="a7"/>
    <w:link w:val="4Char"/>
    <w:autoRedefine/>
    <w:uiPriority w:val="9"/>
    <w:semiHidden/>
    <w:unhideWhenUsed/>
    <w:qFormat/>
    <w:rsid w:val="00F72F8A"/>
    <w:pPr>
      <w:keepNext/>
      <w:keepLines/>
      <w:spacing w:before="280" w:after="290" w:line="376" w:lineRule="auto"/>
      <w:ind w:left="864" w:hanging="864"/>
      <w:outlineLvl w:val="3"/>
    </w:pPr>
    <w:rPr>
      <w:rFonts w:ascii="Calibri Light" w:hAnsi="Calibri Light"/>
      <w:b/>
      <w:bCs/>
      <w:sz w:val="28"/>
      <w:szCs w:val="28"/>
    </w:rPr>
  </w:style>
  <w:style w:type="paragraph" w:styleId="5">
    <w:name w:val="heading 5"/>
    <w:basedOn w:val="a7"/>
    <w:next w:val="a7"/>
    <w:link w:val="5Char"/>
    <w:autoRedefine/>
    <w:uiPriority w:val="9"/>
    <w:semiHidden/>
    <w:unhideWhenUsed/>
    <w:qFormat/>
    <w:rsid w:val="00F72F8A"/>
    <w:pPr>
      <w:keepNext/>
      <w:keepLines/>
      <w:spacing w:before="280" w:after="290" w:line="376" w:lineRule="auto"/>
      <w:ind w:left="1008" w:hanging="1008"/>
      <w:outlineLvl w:val="4"/>
    </w:pPr>
    <w:rPr>
      <w:rFonts w:ascii="Calibri" w:hAnsi="Calibri"/>
      <w:b/>
      <w:bCs/>
      <w:sz w:val="28"/>
      <w:szCs w:val="28"/>
    </w:rPr>
  </w:style>
  <w:style w:type="paragraph" w:styleId="6">
    <w:name w:val="heading 6"/>
    <w:basedOn w:val="a7"/>
    <w:next w:val="a7"/>
    <w:link w:val="6Char"/>
    <w:autoRedefine/>
    <w:uiPriority w:val="9"/>
    <w:semiHidden/>
    <w:unhideWhenUsed/>
    <w:qFormat/>
    <w:rsid w:val="00F72F8A"/>
    <w:pPr>
      <w:keepNext/>
      <w:keepLines/>
      <w:spacing w:before="240" w:after="64" w:line="320" w:lineRule="auto"/>
      <w:ind w:left="1152" w:hanging="1152"/>
      <w:outlineLvl w:val="5"/>
    </w:pPr>
    <w:rPr>
      <w:rFonts w:ascii="Calibri Light" w:hAnsi="Calibri Light"/>
      <w:b/>
      <w:bCs/>
      <w:sz w:val="24"/>
    </w:rPr>
  </w:style>
  <w:style w:type="paragraph" w:styleId="7">
    <w:name w:val="heading 7"/>
    <w:basedOn w:val="a7"/>
    <w:next w:val="a7"/>
    <w:link w:val="7Char"/>
    <w:autoRedefine/>
    <w:uiPriority w:val="9"/>
    <w:semiHidden/>
    <w:unhideWhenUsed/>
    <w:qFormat/>
    <w:rsid w:val="00F72F8A"/>
    <w:pPr>
      <w:keepNext/>
      <w:keepLines/>
      <w:spacing w:before="240" w:after="64" w:line="320" w:lineRule="auto"/>
      <w:ind w:left="1296" w:hanging="1296"/>
      <w:outlineLvl w:val="6"/>
    </w:pPr>
    <w:rPr>
      <w:rFonts w:ascii="Calibri" w:hAnsi="Calibri"/>
      <w:b/>
      <w:bCs/>
      <w:sz w:val="24"/>
    </w:rPr>
  </w:style>
  <w:style w:type="paragraph" w:styleId="8">
    <w:name w:val="heading 8"/>
    <w:basedOn w:val="a7"/>
    <w:next w:val="a7"/>
    <w:link w:val="8Char"/>
    <w:autoRedefine/>
    <w:uiPriority w:val="9"/>
    <w:semiHidden/>
    <w:unhideWhenUsed/>
    <w:qFormat/>
    <w:rsid w:val="00F72F8A"/>
    <w:pPr>
      <w:keepNext/>
      <w:keepLines/>
      <w:spacing w:before="240" w:after="64" w:line="320" w:lineRule="auto"/>
      <w:ind w:left="1440" w:hanging="1440"/>
      <w:outlineLvl w:val="7"/>
    </w:pPr>
    <w:rPr>
      <w:rFonts w:ascii="Calibri Light" w:hAnsi="Calibri Light"/>
      <w:sz w:val="24"/>
    </w:rPr>
  </w:style>
  <w:style w:type="paragraph" w:styleId="9">
    <w:name w:val="heading 9"/>
    <w:basedOn w:val="a7"/>
    <w:next w:val="a7"/>
    <w:link w:val="9Char"/>
    <w:autoRedefine/>
    <w:uiPriority w:val="9"/>
    <w:semiHidden/>
    <w:unhideWhenUsed/>
    <w:qFormat/>
    <w:rsid w:val="00F72F8A"/>
    <w:pPr>
      <w:keepNext/>
      <w:keepLines/>
      <w:spacing w:before="240" w:after="64" w:line="320" w:lineRule="auto"/>
      <w:ind w:left="1584" w:hanging="1584"/>
      <w:outlineLvl w:val="8"/>
    </w:pPr>
    <w:rPr>
      <w:rFonts w:ascii="Calibri Light" w:hAnsi="Calibri Light"/>
      <w:szCs w:val="21"/>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ocument Map"/>
    <w:basedOn w:val="a7"/>
    <w:autoRedefine/>
    <w:qFormat/>
    <w:rsid w:val="00F72F8A"/>
    <w:pPr>
      <w:shd w:val="clear" w:color="auto" w:fill="000080"/>
    </w:pPr>
  </w:style>
  <w:style w:type="paragraph" w:styleId="ac">
    <w:name w:val="annotation text"/>
    <w:basedOn w:val="a7"/>
    <w:link w:val="Char"/>
    <w:autoRedefine/>
    <w:qFormat/>
    <w:rsid w:val="00F72F8A"/>
    <w:pPr>
      <w:jc w:val="left"/>
    </w:pPr>
  </w:style>
  <w:style w:type="paragraph" w:styleId="ad">
    <w:name w:val="Body Text"/>
    <w:basedOn w:val="a7"/>
    <w:link w:val="Char0"/>
    <w:autoRedefine/>
    <w:qFormat/>
    <w:rsid w:val="00F72F8A"/>
    <w:pPr>
      <w:spacing w:after="120"/>
    </w:pPr>
  </w:style>
  <w:style w:type="paragraph" w:styleId="ae">
    <w:name w:val="Body Text Indent"/>
    <w:basedOn w:val="a7"/>
    <w:autoRedefine/>
    <w:qFormat/>
    <w:rsid w:val="00F72F8A"/>
    <w:pPr>
      <w:spacing w:line="360" w:lineRule="auto"/>
      <w:ind w:firstLineChars="196" w:firstLine="196"/>
    </w:pPr>
    <w:rPr>
      <w:rFonts w:ascii="仿宋_GB2312" w:eastAsia="仿宋_GB2312"/>
      <w:spacing w:val="5"/>
      <w:sz w:val="32"/>
    </w:rPr>
  </w:style>
  <w:style w:type="paragraph" w:styleId="af">
    <w:name w:val="Date"/>
    <w:basedOn w:val="a7"/>
    <w:next w:val="a7"/>
    <w:autoRedefine/>
    <w:qFormat/>
    <w:rsid w:val="00F72F8A"/>
    <w:pPr>
      <w:ind w:leftChars="2500" w:left="2500"/>
    </w:pPr>
  </w:style>
  <w:style w:type="paragraph" w:styleId="af0">
    <w:name w:val="Balloon Text"/>
    <w:basedOn w:val="a7"/>
    <w:autoRedefine/>
    <w:qFormat/>
    <w:rsid w:val="00F72F8A"/>
    <w:rPr>
      <w:sz w:val="18"/>
      <w:szCs w:val="18"/>
    </w:rPr>
  </w:style>
  <w:style w:type="paragraph" w:styleId="af1">
    <w:name w:val="footer"/>
    <w:basedOn w:val="a7"/>
    <w:autoRedefine/>
    <w:qFormat/>
    <w:rsid w:val="00F72F8A"/>
    <w:pPr>
      <w:tabs>
        <w:tab w:val="center" w:pos="4153"/>
        <w:tab w:val="right" w:pos="8306"/>
      </w:tabs>
      <w:snapToGrid w:val="0"/>
      <w:jc w:val="left"/>
    </w:pPr>
    <w:rPr>
      <w:sz w:val="18"/>
      <w:szCs w:val="18"/>
    </w:rPr>
  </w:style>
  <w:style w:type="paragraph" w:styleId="af2">
    <w:name w:val="header"/>
    <w:basedOn w:val="a7"/>
    <w:qFormat/>
    <w:rsid w:val="00F72F8A"/>
    <w:pPr>
      <w:pBdr>
        <w:bottom w:val="single" w:sz="6" w:space="1" w:color="auto"/>
      </w:pBdr>
      <w:tabs>
        <w:tab w:val="center" w:pos="4153"/>
        <w:tab w:val="right" w:pos="8306"/>
      </w:tabs>
      <w:snapToGrid w:val="0"/>
      <w:jc w:val="center"/>
    </w:pPr>
    <w:rPr>
      <w:sz w:val="18"/>
      <w:szCs w:val="18"/>
    </w:rPr>
  </w:style>
  <w:style w:type="paragraph" w:styleId="af3">
    <w:name w:val="annotation subject"/>
    <w:basedOn w:val="ac"/>
    <w:next w:val="ac"/>
    <w:link w:val="Char1"/>
    <w:autoRedefine/>
    <w:qFormat/>
    <w:rsid w:val="00F72F8A"/>
    <w:rPr>
      <w:b/>
      <w:bCs/>
    </w:rPr>
  </w:style>
  <w:style w:type="paragraph" w:styleId="af4">
    <w:name w:val="Body Text First Indent"/>
    <w:basedOn w:val="ad"/>
    <w:link w:val="Char2"/>
    <w:autoRedefine/>
    <w:qFormat/>
    <w:rsid w:val="00F72F8A"/>
    <w:pPr>
      <w:ind w:firstLineChars="100" w:firstLine="420"/>
    </w:pPr>
  </w:style>
  <w:style w:type="table" w:styleId="af5">
    <w:name w:val="Table Grid"/>
    <w:basedOn w:val="a9"/>
    <w:autoRedefine/>
    <w:uiPriority w:val="99"/>
    <w:unhideWhenUsed/>
    <w:qFormat/>
    <w:rsid w:val="00F72F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qFormat/>
    <w:rsid w:val="00F72F8A"/>
    <w:rPr>
      <w:b/>
      <w:bCs/>
    </w:rPr>
  </w:style>
  <w:style w:type="character" w:styleId="af7">
    <w:name w:val="page number"/>
    <w:basedOn w:val="a8"/>
    <w:qFormat/>
    <w:rsid w:val="00F72F8A"/>
  </w:style>
  <w:style w:type="character" w:styleId="af8">
    <w:name w:val="Hyperlink"/>
    <w:autoRedefine/>
    <w:qFormat/>
    <w:rsid w:val="00F72F8A"/>
    <w:rPr>
      <w:color w:val="0000FF"/>
      <w:u w:val="single"/>
    </w:rPr>
  </w:style>
  <w:style w:type="character" w:styleId="af9">
    <w:name w:val="annotation reference"/>
    <w:autoRedefine/>
    <w:qFormat/>
    <w:rsid w:val="00F72F8A"/>
    <w:rPr>
      <w:sz w:val="21"/>
      <w:szCs w:val="21"/>
    </w:rPr>
  </w:style>
  <w:style w:type="character" w:customStyle="1" w:styleId="Char3">
    <w:name w:val="段 Char"/>
    <w:link w:val="afa"/>
    <w:qFormat/>
    <w:rsid w:val="00F72F8A"/>
    <w:rPr>
      <w:rFonts w:ascii="宋体" w:eastAsia="宋体"/>
      <w:sz w:val="21"/>
      <w:lang w:val="en-US" w:eastAsia="zh-CN" w:bidi="ar-SA"/>
    </w:rPr>
  </w:style>
  <w:style w:type="paragraph" w:customStyle="1" w:styleId="afa">
    <w:name w:val="段"/>
    <w:link w:val="Char3"/>
    <w:autoRedefine/>
    <w:qFormat/>
    <w:rsid w:val="00F72F8A"/>
    <w:pPr>
      <w:tabs>
        <w:tab w:val="center" w:pos="4201"/>
        <w:tab w:val="right" w:leader="dot" w:pos="9298"/>
      </w:tabs>
      <w:autoSpaceDE w:val="0"/>
      <w:autoSpaceDN w:val="0"/>
      <w:ind w:firstLineChars="200" w:firstLine="200"/>
      <w:jc w:val="both"/>
    </w:pPr>
    <w:rPr>
      <w:rFonts w:ascii="宋体"/>
      <w:sz w:val="21"/>
    </w:rPr>
  </w:style>
  <w:style w:type="character" w:customStyle="1" w:styleId="Char1">
    <w:name w:val="批注主题 Char"/>
    <w:link w:val="af3"/>
    <w:autoRedefine/>
    <w:qFormat/>
    <w:rsid w:val="00F72F8A"/>
    <w:rPr>
      <w:b/>
      <w:bCs/>
      <w:kern w:val="2"/>
      <w:sz w:val="21"/>
      <w:szCs w:val="24"/>
    </w:rPr>
  </w:style>
  <w:style w:type="character" w:customStyle="1" w:styleId="title-text">
    <w:name w:val="title-text"/>
    <w:basedOn w:val="a8"/>
    <w:autoRedefine/>
    <w:qFormat/>
    <w:rsid w:val="00F72F8A"/>
  </w:style>
  <w:style w:type="character" w:customStyle="1" w:styleId="Char">
    <w:name w:val="批注文字 Char"/>
    <w:link w:val="ac"/>
    <w:autoRedefine/>
    <w:qFormat/>
    <w:rsid w:val="00F72F8A"/>
    <w:rPr>
      <w:kern w:val="2"/>
      <w:sz w:val="21"/>
      <w:szCs w:val="24"/>
    </w:rPr>
  </w:style>
  <w:style w:type="character" w:customStyle="1" w:styleId="text7">
    <w:name w:val="text7"/>
    <w:basedOn w:val="a8"/>
    <w:autoRedefine/>
    <w:qFormat/>
    <w:rsid w:val="00F72F8A"/>
  </w:style>
  <w:style w:type="paragraph" w:customStyle="1" w:styleId="a0">
    <w:name w:val="一级条标题"/>
    <w:next w:val="afa"/>
    <w:autoRedefine/>
    <w:qFormat/>
    <w:rsid w:val="00F72F8A"/>
    <w:pPr>
      <w:numPr>
        <w:ilvl w:val="1"/>
        <w:numId w:val="1"/>
      </w:numPr>
      <w:spacing w:beforeLines="50" w:afterLines="50"/>
      <w:outlineLvl w:val="2"/>
    </w:pPr>
    <w:rPr>
      <w:rFonts w:ascii="黑体" w:eastAsia="黑体"/>
      <w:sz w:val="21"/>
      <w:szCs w:val="21"/>
    </w:rPr>
  </w:style>
  <w:style w:type="paragraph" w:customStyle="1" w:styleId="char4">
    <w:name w:val="char"/>
    <w:basedOn w:val="a7"/>
    <w:autoRedefine/>
    <w:qFormat/>
    <w:rsid w:val="00F72F8A"/>
    <w:pPr>
      <w:widowControl/>
      <w:spacing w:beforeLines="50" w:line="360" w:lineRule="exact"/>
      <w:ind w:firstLineChars="200" w:firstLine="200"/>
    </w:pPr>
    <w:rPr>
      <w:b/>
      <w:color w:val="000000"/>
      <w:kern w:val="0"/>
      <w:sz w:val="24"/>
    </w:rPr>
  </w:style>
  <w:style w:type="paragraph" w:customStyle="1" w:styleId="a2">
    <w:name w:val="四级条标题"/>
    <w:basedOn w:val="a7"/>
    <w:next w:val="afa"/>
    <w:autoRedefine/>
    <w:qFormat/>
    <w:rsid w:val="00F72F8A"/>
    <w:pPr>
      <w:widowControl/>
      <w:numPr>
        <w:ilvl w:val="4"/>
        <w:numId w:val="1"/>
      </w:numPr>
      <w:spacing w:beforeLines="50" w:afterLines="50"/>
      <w:jc w:val="left"/>
      <w:outlineLvl w:val="5"/>
    </w:pPr>
    <w:rPr>
      <w:rFonts w:ascii="黑体" w:eastAsia="黑体"/>
      <w:kern w:val="0"/>
      <w:szCs w:val="21"/>
    </w:rPr>
  </w:style>
  <w:style w:type="paragraph" w:customStyle="1" w:styleId="a3">
    <w:name w:val="五级条标题"/>
    <w:basedOn w:val="a2"/>
    <w:next w:val="afa"/>
    <w:autoRedefine/>
    <w:qFormat/>
    <w:rsid w:val="00F72F8A"/>
    <w:pPr>
      <w:numPr>
        <w:ilvl w:val="5"/>
      </w:numPr>
      <w:outlineLvl w:val="6"/>
    </w:pPr>
  </w:style>
  <w:style w:type="paragraph" w:customStyle="1" w:styleId="a1">
    <w:name w:val="二级条标题"/>
    <w:basedOn w:val="a0"/>
    <w:next w:val="afa"/>
    <w:autoRedefine/>
    <w:qFormat/>
    <w:rsid w:val="00F72F8A"/>
    <w:pPr>
      <w:numPr>
        <w:ilvl w:val="2"/>
      </w:numPr>
      <w:spacing w:beforeLines="0" w:afterLines="0"/>
      <w:outlineLvl w:val="3"/>
    </w:pPr>
  </w:style>
  <w:style w:type="paragraph" w:customStyle="1" w:styleId="a6">
    <w:name w:val="数字编号列项（二级）"/>
    <w:autoRedefine/>
    <w:qFormat/>
    <w:rsid w:val="00F72F8A"/>
    <w:pPr>
      <w:numPr>
        <w:ilvl w:val="1"/>
        <w:numId w:val="2"/>
      </w:numPr>
      <w:tabs>
        <w:tab w:val="left" w:pos="840"/>
      </w:tabs>
      <w:jc w:val="both"/>
    </w:pPr>
    <w:rPr>
      <w:rFonts w:ascii="宋体"/>
      <w:sz w:val="21"/>
    </w:rPr>
  </w:style>
  <w:style w:type="paragraph" w:customStyle="1" w:styleId="20">
    <w:name w:val="封面标准号2"/>
    <w:basedOn w:val="a7"/>
    <w:autoRedefine/>
    <w:qFormat/>
    <w:rsid w:val="00F72F8A"/>
    <w:pPr>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ordinary-output">
    <w:name w:val="ordinary-output"/>
    <w:basedOn w:val="a7"/>
    <w:autoRedefine/>
    <w:qFormat/>
    <w:rsid w:val="00F72F8A"/>
    <w:pPr>
      <w:widowControl/>
      <w:spacing w:before="100" w:beforeAutospacing="1" w:after="75" w:line="330" w:lineRule="atLeast"/>
      <w:jc w:val="left"/>
    </w:pPr>
    <w:rPr>
      <w:rFonts w:ascii="宋体" w:cs="宋体"/>
      <w:color w:val="333333"/>
      <w:kern w:val="0"/>
      <w:sz w:val="27"/>
      <w:szCs w:val="27"/>
    </w:rPr>
  </w:style>
  <w:style w:type="paragraph" w:customStyle="1" w:styleId="afb">
    <w:name w:val="三级条标题"/>
    <w:basedOn w:val="a1"/>
    <w:next w:val="afa"/>
    <w:autoRedefine/>
    <w:qFormat/>
    <w:rsid w:val="00F72F8A"/>
    <w:pPr>
      <w:numPr>
        <w:ilvl w:val="0"/>
        <w:numId w:val="0"/>
      </w:numPr>
      <w:spacing w:beforeLines="50" w:afterLines="50"/>
      <w:outlineLvl w:val="4"/>
    </w:pPr>
  </w:style>
  <w:style w:type="paragraph" w:customStyle="1" w:styleId="afc">
    <w:name w:val="标准书脚_奇数页"/>
    <w:autoRedefine/>
    <w:qFormat/>
    <w:rsid w:val="00F72F8A"/>
    <w:pPr>
      <w:spacing w:before="120"/>
      <w:ind w:right="198"/>
      <w:jc w:val="right"/>
    </w:pPr>
    <w:rPr>
      <w:rFonts w:ascii="宋体"/>
      <w:sz w:val="18"/>
      <w:szCs w:val="18"/>
    </w:rPr>
  </w:style>
  <w:style w:type="paragraph" w:customStyle="1" w:styleId="CharCharCharCharCharCharCharCharCharCharCharCharCharCharCharChar">
    <w:name w:val="Char Char Char Char Char Char Char Char Char Char Char Char Char Char Char Char"/>
    <w:basedOn w:val="a7"/>
    <w:autoRedefine/>
    <w:qFormat/>
    <w:rsid w:val="00F72F8A"/>
    <w:pPr>
      <w:widowControl/>
      <w:spacing w:after="160" w:line="240" w:lineRule="exact"/>
      <w:jc w:val="left"/>
      <w:textAlignment w:val="baseline"/>
    </w:pPr>
    <w:rPr>
      <w:rFonts w:ascii="Verdana" w:hAnsi="Verdana"/>
      <w:color w:val="000000"/>
      <w:kern w:val="0"/>
      <w:sz w:val="20"/>
      <w:szCs w:val="20"/>
      <w:u w:color="000000"/>
      <w:lang w:eastAsia="en-US"/>
    </w:rPr>
  </w:style>
  <w:style w:type="paragraph" w:customStyle="1" w:styleId="a5">
    <w:name w:val="字母编号列项（一级）"/>
    <w:autoRedefine/>
    <w:qFormat/>
    <w:rsid w:val="00F72F8A"/>
    <w:pPr>
      <w:numPr>
        <w:numId w:val="2"/>
      </w:numPr>
      <w:jc w:val="both"/>
    </w:pPr>
    <w:rPr>
      <w:rFonts w:ascii="宋体"/>
      <w:sz w:val="21"/>
    </w:rPr>
  </w:style>
  <w:style w:type="paragraph" w:customStyle="1" w:styleId="afd">
    <w:name w:val="目次、标准名称标题"/>
    <w:basedOn w:val="a7"/>
    <w:next w:val="afa"/>
    <w:autoRedefine/>
    <w:qFormat/>
    <w:rsid w:val="00F72F8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
    <w:name w:val="章标题"/>
    <w:next w:val="afa"/>
    <w:autoRedefine/>
    <w:qFormat/>
    <w:rsid w:val="00F72F8A"/>
    <w:pPr>
      <w:numPr>
        <w:numId w:val="1"/>
      </w:numPr>
      <w:spacing w:beforeLines="100" w:afterLines="100"/>
      <w:jc w:val="both"/>
      <w:outlineLvl w:val="1"/>
    </w:pPr>
    <w:rPr>
      <w:rFonts w:ascii="黑体" w:eastAsia="黑体"/>
      <w:sz w:val="21"/>
    </w:rPr>
  </w:style>
  <w:style w:type="paragraph" w:customStyle="1" w:styleId="afe">
    <w:name w:val="标准书眉_奇数页"/>
    <w:next w:val="a7"/>
    <w:autoRedefine/>
    <w:qFormat/>
    <w:rsid w:val="00F72F8A"/>
    <w:pPr>
      <w:tabs>
        <w:tab w:val="center" w:pos="4154"/>
        <w:tab w:val="right" w:pos="8306"/>
      </w:tabs>
      <w:spacing w:after="220"/>
      <w:jc w:val="right"/>
    </w:pPr>
    <w:rPr>
      <w:rFonts w:ascii="黑体" w:eastAsia="黑体"/>
      <w:sz w:val="21"/>
      <w:szCs w:val="21"/>
    </w:rPr>
  </w:style>
  <w:style w:type="paragraph" w:customStyle="1" w:styleId="10">
    <w:name w:val="修订1"/>
    <w:autoRedefine/>
    <w:hidden/>
    <w:uiPriority w:val="99"/>
    <w:unhideWhenUsed/>
    <w:qFormat/>
    <w:rsid w:val="00F72F8A"/>
    <w:rPr>
      <w:kern w:val="2"/>
      <w:sz w:val="21"/>
      <w:szCs w:val="24"/>
    </w:rPr>
  </w:style>
  <w:style w:type="character" w:customStyle="1" w:styleId="2Char">
    <w:name w:val="标题 2 Char"/>
    <w:link w:val="2"/>
    <w:autoRedefine/>
    <w:uiPriority w:val="9"/>
    <w:qFormat/>
    <w:rsid w:val="00F72F8A"/>
    <w:rPr>
      <w:bCs/>
      <w:kern w:val="2"/>
      <w:sz w:val="24"/>
      <w:szCs w:val="32"/>
    </w:rPr>
  </w:style>
  <w:style w:type="character" w:customStyle="1" w:styleId="4Char">
    <w:name w:val="标题 4 Char"/>
    <w:link w:val="4"/>
    <w:autoRedefine/>
    <w:uiPriority w:val="9"/>
    <w:semiHidden/>
    <w:qFormat/>
    <w:rsid w:val="00F72F8A"/>
    <w:rPr>
      <w:rFonts w:ascii="Calibri Light" w:hAnsi="Calibri Light"/>
      <w:b/>
      <w:bCs/>
      <w:kern w:val="2"/>
      <w:sz w:val="28"/>
      <w:szCs w:val="28"/>
    </w:rPr>
  </w:style>
  <w:style w:type="character" w:customStyle="1" w:styleId="5Char">
    <w:name w:val="标题 5 Char"/>
    <w:link w:val="5"/>
    <w:autoRedefine/>
    <w:uiPriority w:val="9"/>
    <w:semiHidden/>
    <w:qFormat/>
    <w:rsid w:val="00F72F8A"/>
    <w:rPr>
      <w:rFonts w:ascii="Calibri" w:hAnsi="Calibri"/>
      <w:b/>
      <w:bCs/>
      <w:kern w:val="2"/>
      <w:sz w:val="28"/>
      <w:szCs w:val="28"/>
    </w:rPr>
  </w:style>
  <w:style w:type="character" w:customStyle="1" w:styleId="6Char">
    <w:name w:val="标题 6 Char"/>
    <w:link w:val="6"/>
    <w:autoRedefine/>
    <w:uiPriority w:val="9"/>
    <w:semiHidden/>
    <w:qFormat/>
    <w:rsid w:val="00F72F8A"/>
    <w:rPr>
      <w:rFonts w:ascii="Calibri Light" w:hAnsi="Calibri Light"/>
      <w:b/>
      <w:bCs/>
      <w:kern w:val="2"/>
      <w:sz w:val="24"/>
      <w:szCs w:val="24"/>
    </w:rPr>
  </w:style>
  <w:style w:type="character" w:customStyle="1" w:styleId="7Char">
    <w:name w:val="标题 7 Char"/>
    <w:link w:val="7"/>
    <w:autoRedefine/>
    <w:uiPriority w:val="9"/>
    <w:semiHidden/>
    <w:qFormat/>
    <w:rsid w:val="00F72F8A"/>
    <w:rPr>
      <w:rFonts w:ascii="Calibri" w:hAnsi="Calibri"/>
      <w:b/>
      <w:bCs/>
      <w:kern w:val="2"/>
      <w:sz w:val="24"/>
      <w:szCs w:val="24"/>
    </w:rPr>
  </w:style>
  <w:style w:type="character" w:customStyle="1" w:styleId="8Char">
    <w:name w:val="标题 8 Char"/>
    <w:link w:val="8"/>
    <w:autoRedefine/>
    <w:uiPriority w:val="9"/>
    <w:semiHidden/>
    <w:qFormat/>
    <w:rsid w:val="00F72F8A"/>
    <w:rPr>
      <w:rFonts w:ascii="Calibri Light" w:hAnsi="Calibri Light"/>
      <w:kern w:val="2"/>
      <w:sz w:val="24"/>
      <w:szCs w:val="24"/>
    </w:rPr>
  </w:style>
  <w:style w:type="character" w:customStyle="1" w:styleId="9Char">
    <w:name w:val="标题 9 Char"/>
    <w:link w:val="9"/>
    <w:autoRedefine/>
    <w:uiPriority w:val="9"/>
    <w:semiHidden/>
    <w:qFormat/>
    <w:rsid w:val="00F72F8A"/>
    <w:rPr>
      <w:rFonts w:ascii="Calibri Light" w:hAnsi="Calibri Light"/>
      <w:kern w:val="2"/>
      <w:sz w:val="21"/>
      <w:szCs w:val="21"/>
    </w:rPr>
  </w:style>
  <w:style w:type="paragraph" w:customStyle="1" w:styleId="aff">
    <w:name w:val="首行缩进"/>
    <w:basedOn w:val="af4"/>
    <w:link w:val="aff0"/>
    <w:autoRedefine/>
    <w:qFormat/>
    <w:rsid w:val="00F72F8A"/>
    <w:pPr>
      <w:spacing w:after="60" w:line="288" w:lineRule="auto"/>
      <w:ind w:firstLineChars="0" w:firstLine="480"/>
    </w:pPr>
    <w:rPr>
      <w:sz w:val="24"/>
      <w:szCs w:val="21"/>
    </w:rPr>
  </w:style>
  <w:style w:type="character" w:customStyle="1" w:styleId="aff0">
    <w:name w:val="首行缩进 字符"/>
    <w:link w:val="aff"/>
    <w:autoRedefine/>
    <w:qFormat/>
    <w:rsid w:val="00F72F8A"/>
    <w:rPr>
      <w:kern w:val="2"/>
      <w:sz w:val="24"/>
      <w:szCs w:val="21"/>
    </w:rPr>
  </w:style>
  <w:style w:type="character" w:customStyle="1" w:styleId="Char0">
    <w:name w:val="正文文本 Char"/>
    <w:link w:val="ad"/>
    <w:autoRedefine/>
    <w:qFormat/>
    <w:rsid w:val="00F72F8A"/>
    <w:rPr>
      <w:kern w:val="2"/>
      <w:sz w:val="21"/>
      <w:szCs w:val="24"/>
    </w:rPr>
  </w:style>
  <w:style w:type="character" w:customStyle="1" w:styleId="Char2">
    <w:name w:val="正文首行缩进 Char"/>
    <w:basedOn w:val="Char0"/>
    <w:link w:val="af4"/>
    <w:autoRedefine/>
    <w:qFormat/>
    <w:rsid w:val="00F72F8A"/>
    <w:rPr>
      <w:kern w:val="2"/>
      <w:sz w:val="21"/>
      <w:szCs w:val="24"/>
    </w:rPr>
  </w:style>
  <w:style w:type="paragraph" w:customStyle="1" w:styleId="11">
    <w:name w:val="正文1"/>
    <w:autoRedefine/>
    <w:qFormat/>
    <w:rsid w:val="00F72F8A"/>
    <w:pPr>
      <w:jc w:val="both"/>
    </w:pPr>
    <w:rPr>
      <w:kern w:val="2"/>
      <w:sz w:val="21"/>
      <w:szCs w:val="21"/>
    </w:rPr>
  </w:style>
  <w:style w:type="paragraph" w:customStyle="1" w:styleId="21">
    <w:name w:val="修订2"/>
    <w:autoRedefine/>
    <w:hidden/>
    <w:uiPriority w:val="99"/>
    <w:unhideWhenUsed/>
    <w:qFormat/>
    <w:rsid w:val="00F72F8A"/>
    <w:rPr>
      <w:kern w:val="2"/>
      <w:sz w:val="21"/>
      <w:szCs w:val="24"/>
    </w:rPr>
  </w:style>
  <w:style w:type="paragraph" w:customStyle="1" w:styleId="a4">
    <w:name w:val="注×："/>
    <w:qFormat/>
    <w:rsid w:val="00F72F8A"/>
    <w:pPr>
      <w:widowControl w:val="0"/>
      <w:numPr>
        <w:numId w:val="3"/>
      </w:numPr>
      <w:autoSpaceDE w:val="0"/>
      <w:autoSpaceDN w:val="0"/>
      <w:jc w:val="both"/>
    </w:pPr>
    <w:rPr>
      <w:rFonts w:ascii="宋体"/>
      <w:sz w:val="18"/>
      <w:szCs w:val="18"/>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1488</Words>
  <Characters>8487</Characters>
  <Application>Microsoft Office Word</Application>
  <DocSecurity>0</DocSecurity>
  <Lines>70</Lines>
  <Paragraphs>19</Paragraphs>
  <ScaleCrop>false</ScaleCrop>
  <Company>微软中国</Company>
  <LinksUpToDate>false</LinksUpToDate>
  <CharactersWithSpaces>9956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标准编制说明</dc:title>
  <dc:creator>微软用户</dc:creator>
  <cp:lastModifiedBy>Windows User</cp:lastModifiedBy>
  <cp:revision>10</cp:revision>
  <cp:lastPrinted>2023-08-22T14:14:00Z</cp:lastPrinted>
  <dcterms:created xsi:type="dcterms:W3CDTF">2024-06-30T04:21:00Z</dcterms:created>
  <dcterms:modified xsi:type="dcterms:W3CDTF">2024-07-08T02:58:00Z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34384C80A19A494D9A364E5247C5F6AE_13</vt:lpwstr>
  </property>
</Properties>
</file>